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43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4451"/>
        <w:gridCol w:w="1672"/>
        <w:gridCol w:w="1478"/>
      </w:tblGrid>
      <w:tr w:rsidR="003C0296" w:rsidTr="003C0296">
        <w:tc>
          <w:tcPr>
            <w:tcW w:w="2639" w:type="dxa"/>
            <w:vMerge w:val="restart"/>
            <w:shd w:val="clear" w:color="auto" w:fill="auto"/>
          </w:tcPr>
          <w:p w:rsidR="003C0296" w:rsidRPr="0043491D" w:rsidRDefault="003C0296" w:rsidP="003C0296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 wp14:anchorId="107CF174" wp14:editId="2447BAD2">
                  <wp:extent cx="1439186" cy="826936"/>
                  <wp:effectExtent l="0" t="0" r="889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82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Merge w:val="restart"/>
            <w:shd w:val="clear" w:color="auto" w:fill="auto"/>
          </w:tcPr>
          <w:p w:rsidR="003C0296" w:rsidRPr="0043491D" w:rsidRDefault="003C0296" w:rsidP="003C0296">
            <w:pPr>
              <w:rPr>
                <w:rFonts w:ascii="Calibri" w:hAnsi="Calibri"/>
              </w:rPr>
            </w:pPr>
          </w:p>
          <w:p w:rsidR="003C0296" w:rsidRPr="0043491D" w:rsidRDefault="003C0296" w:rsidP="003C0296">
            <w:pPr>
              <w:jc w:val="center"/>
              <w:rPr>
                <w:rFonts w:ascii="Calibri" w:hAnsi="Calibri"/>
                <w:b/>
              </w:rPr>
            </w:pPr>
            <w:r w:rsidRPr="00CE381C">
              <w:rPr>
                <w:rFonts w:ascii="Calibri" w:hAnsi="Calibri"/>
                <w:b/>
                <w:bCs/>
              </w:rPr>
              <w:t>PERSONEL YARALANMALARI İZLEM TALİMATI</w:t>
            </w:r>
          </w:p>
        </w:tc>
        <w:tc>
          <w:tcPr>
            <w:tcW w:w="1672" w:type="dxa"/>
            <w:shd w:val="clear" w:color="auto" w:fill="auto"/>
          </w:tcPr>
          <w:p w:rsidR="003C0296" w:rsidRPr="00FD5A46" w:rsidRDefault="003C0296" w:rsidP="003C0296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478" w:type="dxa"/>
            <w:shd w:val="clear" w:color="auto" w:fill="auto"/>
          </w:tcPr>
          <w:p w:rsidR="003C0296" w:rsidRPr="00CE381C" w:rsidRDefault="003C0296" w:rsidP="003C0296">
            <w:pPr>
              <w:pStyle w:val="TableParagraph"/>
              <w:spacing w:line="225" w:lineRule="exact"/>
              <w:ind w:left="67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E381C">
              <w:rPr>
                <w:rFonts w:asciiTheme="minorHAnsi" w:hAnsiTheme="minorHAnsi"/>
                <w:sz w:val="20"/>
              </w:rPr>
              <w:t>EN.TL.14</w:t>
            </w:r>
          </w:p>
        </w:tc>
      </w:tr>
      <w:tr w:rsidR="003C0296" w:rsidTr="003C0296">
        <w:tc>
          <w:tcPr>
            <w:tcW w:w="2639" w:type="dxa"/>
            <w:vMerge/>
            <w:shd w:val="clear" w:color="auto" w:fill="auto"/>
          </w:tcPr>
          <w:p w:rsidR="003C0296" w:rsidRDefault="003C0296" w:rsidP="003C0296"/>
        </w:tc>
        <w:tc>
          <w:tcPr>
            <w:tcW w:w="4451" w:type="dxa"/>
            <w:vMerge/>
            <w:shd w:val="clear" w:color="auto" w:fill="auto"/>
          </w:tcPr>
          <w:p w:rsidR="003C0296" w:rsidRDefault="003C0296" w:rsidP="003C0296"/>
        </w:tc>
        <w:tc>
          <w:tcPr>
            <w:tcW w:w="1672" w:type="dxa"/>
            <w:shd w:val="clear" w:color="auto" w:fill="auto"/>
          </w:tcPr>
          <w:p w:rsidR="003C0296" w:rsidRPr="00FD5A46" w:rsidRDefault="003C0296" w:rsidP="003C0296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78" w:type="dxa"/>
            <w:shd w:val="clear" w:color="auto" w:fill="auto"/>
          </w:tcPr>
          <w:p w:rsidR="003C0296" w:rsidRPr="00CE381C" w:rsidRDefault="003C0296" w:rsidP="003C0296">
            <w:pPr>
              <w:pStyle w:val="TableParagraph"/>
              <w:spacing w:line="225" w:lineRule="exact"/>
              <w:ind w:left="67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E381C">
              <w:rPr>
                <w:rFonts w:asciiTheme="minorHAnsi" w:hAnsiTheme="minorHAnsi"/>
                <w:sz w:val="20"/>
              </w:rPr>
              <w:t>22.11.2016</w:t>
            </w:r>
          </w:p>
        </w:tc>
      </w:tr>
      <w:tr w:rsidR="003C0296" w:rsidTr="003C0296">
        <w:tc>
          <w:tcPr>
            <w:tcW w:w="2639" w:type="dxa"/>
            <w:vMerge/>
            <w:shd w:val="clear" w:color="auto" w:fill="auto"/>
          </w:tcPr>
          <w:p w:rsidR="003C0296" w:rsidRDefault="003C0296" w:rsidP="003C0296"/>
        </w:tc>
        <w:tc>
          <w:tcPr>
            <w:tcW w:w="4451" w:type="dxa"/>
            <w:vMerge/>
            <w:shd w:val="clear" w:color="auto" w:fill="auto"/>
          </w:tcPr>
          <w:p w:rsidR="003C0296" w:rsidRDefault="003C0296" w:rsidP="003C0296"/>
        </w:tc>
        <w:tc>
          <w:tcPr>
            <w:tcW w:w="1672" w:type="dxa"/>
            <w:shd w:val="clear" w:color="auto" w:fill="auto"/>
          </w:tcPr>
          <w:p w:rsidR="003C0296" w:rsidRPr="00FD5A46" w:rsidRDefault="003C0296" w:rsidP="003C0296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78" w:type="dxa"/>
            <w:shd w:val="clear" w:color="auto" w:fill="auto"/>
          </w:tcPr>
          <w:p w:rsidR="003C0296" w:rsidRPr="00CE381C" w:rsidRDefault="003C0296" w:rsidP="003C0296">
            <w:pPr>
              <w:pStyle w:val="TableParagraph"/>
              <w:spacing w:line="225" w:lineRule="exact"/>
              <w:ind w:left="67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E381C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3C0296" w:rsidTr="003C0296">
        <w:tc>
          <w:tcPr>
            <w:tcW w:w="2639" w:type="dxa"/>
            <w:vMerge/>
            <w:shd w:val="clear" w:color="auto" w:fill="auto"/>
          </w:tcPr>
          <w:p w:rsidR="003C0296" w:rsidRDefault="003C0296" w:rsidP="003C0296"/>
        </w:tc>
        <w:tc>
          <w:tcPr>
            <w:tcW w:w="4451" w:type="dxa"/>
            <w:vMerge/>
            <w:shd w:val="clear" w:color="auto" w:fill="auto"/>
          </w:tcPr>
          <w:p w:rsidR="003C0296" w:rsidRDefault="003C0296" w:rsidP="003C0296"/>
        </w:tc>
        <w:tc>
          <w:tcPr>
            <w:tcW w:w="1672" w:type="dxa"/>
            <w:shd w:val="clear" w:color="auto" w:fill="auto"/>
          </w:tcPr>
          <w:p w:rsidR="003C0296" w:rsidRPr="00FD5A46" w:rsidRDefault="003C0296" w:rsidP="003C0296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478" w:type="dxa"/>
            <w:shd w:val="clear" w:color="auto" w:fill="auto"/>
          </w:tcPr>
          <w:p w:rsidR="003C0296" w:rsidRPr="00CE381C" w:rsidRDefault="003C0296" w:rsidP="003C0296">
            <w:pPr>
              <w:pStyle w:val="TableParagraph"/>
              <w:spacing w:line="225" w:lineRule="exact"/>
              <w:ind w:left="67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E381C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  <w:bookmarkStart w:id="0" w:name="_GoBack"/>
            <w:bookmarkEnd w:id="0"/>
          </w:p>
        </w:tc>
      </w:tr>
      <w:tr w:rsidR="003C0296" w:rsidTr="003C0296">
        <w:tc>
          <w:tcPr>
            <w:tcW w:w="2639" w:type="dxa"/>
            <w:vMerge/>
            <w:shd w:val="clear" w:color="auto" w:fill="auto"/>
          </w:tcPr>
          <w:p w:rsidR="003C0296" w:rsidRDefault="003C0296" w:rsidP="003C0296"/>
        </w:tc>
        <w:tc>
          <w:tcPr>
            <w:tcW w:w="4451" w:type="dxa"/>
            <w:vMerge/>
            <w:shd w:val="clear" w:color="auto" w:fill="auto"/>
          </w:tcPr>
          <w:p w:rsidR="003C0296" w:rsidRDefault="003C0296" w:rsidP="003C0296"/>
        </w:tc>
        <w:tc>
          <w:tcPr>
            <w:tcW w:w="1672" w:type="dxa"/>
            <w:shd w:val="clear" w:color="auto" w:fill="auto"/>
          </w:tcPr>
          <w:p w:rsidR="003C0296" w:rsidRPr="00FD5A46" w:rsidRDefault="003C0296" w:rsidP="003C0296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478" w:type="dxa"/>
            <w:shd w:val="clear" w:color="auto" w:fill="auto"/>
          </w:tcPr>
          <w:p w:rsidR="003C0296" w:rsidRPr="00FD5A46" w:rsidRDefault="003C0296" w:rsidP="003C02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</w:t>
            </w:r>
          </w:p>
        </w:tc>
      </w:tr>
    </w:tbl>
    <w:p w:rsidR="003C0296" w:rsidRDefault="003C0296"/>
    <w:p w:rsidR="003C0296" w:rsidRPr="003C0296" w:rsidRDefault="003C0296" w:rsidP="003C0296"/>
    <w:p w:rsidR="003C0296" w:rsidRPr="003C0296" w:rsidRDefault="003C0296" w:rsidP="003C0296"/>
    <w:p w:rsidR="003C0296" w:rsidRPr="003C0296" w:rsidRDefault="003C0296" w:rsidP="003C0296"/>
    <w:p w:rsidR="003C0296" w:rsidRPr="003C0296" w:rsidRDefault="003C0296" w:rsidP="003C0296"/>
    <w:p w:rsidR="003C0296" w:rsidRDefault="003C0296" w:rsidP="003C0296"/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  <w:r w:rsidRPr="003C0296">
        <w:rPr>
          <w:rFonts w:asciiTheme="minorHAnsi" w:hAnsiTheme="minorHAnsi"/>
          <w:b/>
        </w:rPr>
        <w:t>1.AMAÇ</w:t>
      </w:r>
    </w:p>
    <w:p w:rsid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Hasta kanı ve/veya diğer vücut sıvıları ile </w:t>
      </w:r>
      <w:proofErr w:type="spellStart"/>
      <w:r w:rsidRPr="003C0296">
        <w:rPr>
          <w:rFonts w:asciiTheme="minorHAnsi" w:hAnsiTheme="minorHAnsi"/>
        </w:rPr>
        <w:t>parenteral</w:t>
      </w:r>
      <w:proofErr w:type="spellEnd"/>
      <w:r w:rsidRPr="003C0296">
        <w:rPr>
          <w:rFonts w:asciiTheme="minorHAnsi" w:hAnsiTheme="minorHAnsi"/>
        </w:rPr>
        <w:t xml:space="preserve"> veya mukoza yoluyla temas eden sağlık personeline yapılacak takip ve tedavi işlemlerini belirlemektir.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  <w:r w:rsidRPr="003C0296">
        <w:rPr>
          <w:rFonts w:asciiTheme="minorHAnsi" w:hAnsiTheme="minorHAnsi"/>
          <w:b/>
        </w:rPr>
        <w:t>2.KAPSAM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>Sağlık personelinin yaralanma sonrası takip ve tedavi faaliyetlerini kapsar.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  <w:r w:rsidRPr="003C0296">
        <w:rPr>
          <w:rFonts w:asciiTheme="minorHAnsi" w:hAnsiTheme="minorHAnsi"/>
          <w:b/>
        </w:rPr>
        <w:t>3.İLGİLİ KAYITLAR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  <w:r w:rsidRPr="003C0296">
        <w:rPr>
          <w:rFonts w:asciiTheme="minorHAnsi" w:hAnsiTheme="minorHAnsi"/>
          <w:b/>
        </w:rPr>
        <w:t>4.SORUMLULAR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>Bu talimatın uygulanmasından hastanenin tüm birimleri ve çalışanları sorumludur.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  <w:r w:rsidRPr="003C0296">
        <w:rPr>
          <w:rFonts w:asciiTheme="minorHAnsi" w:hAnsiTheme="minorHAnsi"/>
          <w:b/>
        </w:rPr>
        <w:t>5.TANIMLAR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proofErr w:type="spellStart"/>
      <w:proofErr w:type="gramStart"/>
      <w:r w:rsidRPr="003C0296">
        <w:rPr>
          <w:rFonts w:asciiTheme="minorHAnsi" w:hAnsiTheme="minorHAnsi"/>
        </w:rPr>
        <w:t>HBIg</w:t>
      </w:r>
      <w:proofErr w:type="spellEnd"/>
      <w:r w:rsidRPr="003C0296">
        <w:rPr>
          <w:rFonts w:asciiTheme="minorHAnsi" w:hAnsiTheme="minorHAnsi"/>
        </w:rPr>
        <w:t xml:space="preserve">  : Hepatit</w:t>
      </w:r>
      <w:proofErr w:type="gramEnd"/>
      <w:r w:rsidRPr="003C0296">
        <w:rPr>
          <w:rFonts w:asciiTheme="minorHAnsi" w:hAnsiTheme="minorHAnsi"/>
        </w:rPr>
        <w:t xml:space="preserve"> B </w:t>
      </w:r>
      <w:proofErr w:type="spellStart"/>
      <w:r w:rsidRPr="003C0296">
        <w:rPr>
          <w:rFonts w:asciiTheme="minorHAnsi" w:hAnsiTheme="minorHAnsi"/>
        </w:rPr>
        <w:t>immünglobulin</w:t>
      </w:r>
      <w:proofErr w:type="spellEnd"/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  <w:r w:rsidRPr="003C0296">
        <w:rPr>
          <w:rFonts w:asciiTheme="minorHAnsi" w:hAnsiTheme="minorHAnsi"/>
          <w:b/>
        </w:rPr>
        <w:t>6.FAALİYET AKIŞI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  <w:r w:rsidRPr="003C0296">
        <w:rPr>
          <w:rFonts w:asciiTheme="minorHAnsi" w:hAnsiTheme="minorHAnsi"/>
          <w:b/>
        </w:rPr>
        <w:t>6.1</w:t>
      </w:r>
      <w:r w:rsidRPr="003C0296">
        <w:rPr>
          <w:rFonts w:asciiTheme="minorHAnsi" w:hAnsiTheme="minorHAnsi"/>
          <w:b/>
        </w:rPr>
        <w:t>Temel İlkeler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>6.1.1.Personele yaralanmalardan korunmak için hizmet içi eğitim verilmelidir.</w:t>
      </w:r>
    </w:p>
    <w:p w:rsidR="003C0296" w:rsidRPr="003C0296" w:rsidRDefault="003C0296" w:rsidP="003C0296">
      <w:pPr>
        <w:tabs>
          <w:tab w:val="left" w:pos="964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Pr="003C0296">
        <w:rPr>
          <w:rFonts w:asciiTheme="minorHAnsi" w:hAnsiTheme="minorHAnsi"/>
        </w:rPr>
        <w:t xml:space="preserve"> 6.1.2.Aşı ile korunabilecek hastalıklar açısından </w:t>
      </w:r>
      <w:proofErr w:type="spellStart"/>
      <w:r w:rsidRPr="003C0296">
        <w:rPr>
          <w:rFonts w:asciiTheme="minorHAnsi" w:hAnsiTheme="minorHAnsi"/>
        </w:rPr>
        <w:t>serolojik</w:t>
      </w:r>
      <w:proofErr w:type="spellEnd"/>
      <w:r w:rsidRPr="003C0296">
        <w:rPr>
          <w:rFonts w:asciiTheme="minorHAnsi" w:hAnsiTheme="minorHAnsi"/>
        </w:rPr>
        <w:t xml:space="preserve"> durum belirlenmeli ve aşı </w:t>
      </w:r>
      <w:proofErr w:type="gramStart"/>
      <w:r w:rsidRPr="003C0296">
        <w:rPr>
          <w:rFonts w:asciiTheme="minorHAnsi" w:hAnsiTheme="minorHAnsi"/>
        </w:rPr>
        <w:t>hikayesi</w:t>
      </w:r>
      <w:proofErr w:type="gramEnd"/>
      <w:r w:rsidRPr="003C0296">
        <w:rPr>
          <w:rFonts w:asciiTheme="minorHAnsi" w:hAnsiTheme="minorHAnsi"/>
        </w:rPr>
        <w:t xml:space="preserve"> öğrenilmelidir.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6.1.3.Tüm </w:t>
      </w:r>
      <w:proofErr w:type="spellStart"/>
      <w:r w:rsidRPr="003C0296">
        <w:rPr>
          <w:rFonts w:asciiTheme="minorHAnsi" w:hAnsiTheme="minorHAnsi"/>
        </w:rPr>
        <w:t>invaziv</w:t>
      </w:r>
      <w:proofErr w:type="spellEnd"/>
      <w:r w:rsidRPr="003C0296">
        <w:rPr>
          <w:rFonts w:asciiTheme="minorHAnsi" w:hAnsiTheme="minorHAnsi"/>
        </w:rPr>
        <w:t xml:space="preserve"> girişimlerde gerekli koruyucu önlemlere uyulmalıdır.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>6.1.4. Atık toplayan personel ‘‘Tıbbi Atık Yönetimi Prosedürü’’</w:t>
      </w:r>
      <w:proofErr w:type="spellStart"/>
      <w:r w:rsidRPr="003C0296">
        <w:rPr>
          <w:rFonts w:asciiTheme="minorHAnsi" w:hAnsiTheme="minorHAnsi"/>
        </w:rPr>
        <w:t>ndeki</w:t>
      </w:r>
      <w:proofErr w:type="spellEnd"/>
      <w:r w:rsidRPr="003C0296">
        <w:rPr>
          <w:rFonts w:asciiTheme="minorHAnsi" w:hAnsiTheme="minorHAnsi"/>
        </w:rPr>
        <w:t xml:space="preserve"> korunma kurallarını uygulamalıdır.                                                                                                           6.1.5.Tüm sağlık çalışanlarının hepatit belirteçleri bakılarak daha önceden hepatit B ile karşılaşmamış olanlar hepatit B’ye karşı aşılanmalıdır.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6.1.6.Göreve yeni başlayan her personel hepatit B aşılama programına alınmak için </w:t>
      </w:r>
      <w:proofErr w:type="gramStart"/>
      <w:r w:rsidRPr="003C0296">
        <w:rPr>
          <w:rFonts w:asciiTheme="minorHAnsi" w:hAnsiTheme="minorHAnsi"/>
        </w:rPr>
        <w:t>enfeksiyon</w:t>
      </w:r>
      <w:proofErr w:type="gramEnd"/>
      <w:r w:rsidRPr="003C0296">
        <w:rPr>
          <w:rFonts w:asciiTheme="minorHAnsi" w:hAnsiTheme="minorHAnsi"/>
        </w:rPr>
        <w:t xml:space="preserve"> ve antibiyotik direnç kontrol komitesi odasına başvurmalıdır.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6.1.7.Tüm sağlık personelinin </w:t>
      </w:r>
      <w:proofErr w:type="spellStart"/>
      <w:r w:rsidRPr="003C0296">
        <w:rPr>
          <w:rFonts w:asciiTheme="minorHAnsi" w:hAnsiTheme="minorHAnsi"/>
        </w:rPr>
        <w:t>tetanoz</w:t>
      </w:r>
      <w:proofErr w:type="spellEnd"/>
      <w:r w:rsidRPr="003C0296">
        <w:rPr>
          <w:rFonts w:asciiTheme="minorHAnsi" w:hAnsiTheme="minorHAnsi"/>
        </w:rPr>
        <w:t xml:space="preserve"> aşısı yaptırılmalı veya yapılmış olmalıdır.</w:t>
      </w:r>
    </w:p>
    <w:p w:rsid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6.2. Yaralanma Sonrası Uygulanması Gerekenler 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  <w:r w:rsidRPr="003C0296">
        <w:rPr>
          <w:rFonts w:asciiTheme="minorHAnsi" w:hAnsiTheme="minorHAnsi"/>
          <w:b/>
        </w:rPr>
        <w:t>6.2.1.Genel Öneriler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>6.2.1.Yaralanma sonrası ilk olarak temas bölgesi su ve sabunla veya uygun bir antiseptikle yıkanmalıdır.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>6.2.1.2.Mukoza temaslarında temas bölgesi bol suyla yıkanmalıdır.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6.2.1.3.Temas bölgesi sıkma, emme, kanatmaya çalışma vb. yöntemlerle kesinlikle </w:t>
      </w:r>
      <w:proofErr w:type="spellStart"/>
      <w:r w:rsidRPr="003C0296">
        <w:rPr>
          <w:rFonts w:asciiTheme="minorHAnsi" w:hAnsiTheme="minorHAnsi"/>
        </w:rPr>
        <w:t>travmatize</w:t>
      </w:r>
      <w:proofErr w:type="spellEnd"/>
      <w:r w:rsidRPr="003C0296">
        <w:rPr>
          <w:rFonts w:asciiTheme="minorHAnsi" w:hAnsiTheme="minorHAnsi"/>
        </w:rPr>
        <w:t xml:space="preserve"> edilmemelidir.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>6.2.1.4.Temas bölgesine çamaşır suyu gibi kostik ajanlar kesinlikle sürülmemelidir.</w:t>
      </w:r>
    </w:p>
    <w:p w:rsidR="00FE6572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6.2.1.5.Yaralanma sonrası acilen mesai saatlerinde </w:t>
      </w:r>
      <w:proofErr w:type="gramStart"/>
      <w:r w:rsidRPr="003C0296">
        <w:rPr>
          <w:rFonts w:asciiTheme="minorHAnsi" w:hAnsiTheme="minorHAnsi"/>
        </w:rPr>
        <w:t>enfeksiyon</w:t>
      </w:r>
      <w:proofErr w:type="gramEnd"/>
      <w:r w:rsidRPr="003C0296">
        <w:rPr>
          <w:rFonts w:asciiTheme="minorHAnsi" w:hAnsiTheme="minorHAnsi"/>
        </w:rPr>
        <w:t xml:space="preserve"> kontrol hemşiresi ile, mesai saatleri dışında </w:t>
      </w:r>
      <w:r w:rsidRPr="003C0296">
        <w:rPr>
          <w:rFonts w:asciiTheme="minorHAnsi" w:hAnsiTheme="minorHAnsi"/>
        </w:rPr>
        <w:t>enfeksiyon hastalıkları</w:t>
      </w:r>
      <w:r w:rsidRPr="003C0296">
        <w:rPr>
          <w:rFonts w:asciiTheme="minorHAnsi" w:hAnsiTheme="minorHAnsi"/>
        </w:rPr>
        <w:t xml:space="preserve"> doktoru ile irtibata geçilmelidir</w:t>
      </w:r>
      <w:r>
        <w:rPr>
          <w:rFonts w:asciiTheme="minorHAnsi" w:hAnsiTheme="minorHAnsi"/>
        </w:rPr>
        <w:t>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>6.2.1.6. En kısa zamanda yapılması gerekenler ve takip planlanmalıdır.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6.2.1.7.Yaralanan kişiye </w:t>
      </w:r>
      <w:proofErr w:type="gramStart"/>
      <w:r w:rsidRPr="003C0296">
        <w:rPr>
          <w:rFonts w:asciiTheme="minorHAnsi" w:hAnsiTheme="minorHAnsi"/>
        </w:rPr>
        <w:t>enfeksiyon</w:t>
      </w:r>
      <w:proofErr w:type="gramEnd"/>
      <w:r w:rsidRPr="003C0296">
        <w:rPr>
          <w:rFonts w:asciiTheme="minorHAnsi" w:hAnsiTheme="minorHAnsi"/>
        </w:rPr>
        <w:t xml:space="preserve"> kontrol hemşiresi tarafından Kirli materyal sıçraması kesici delici aletle yaralanma bildirim formu iki nüsha halinde doldurulmalıdır.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6.2.1.8.Enfeksiyon kontrol hemşiresi, kazaya uğrayan kişiyi tetkik ve tedavisi için Kirli materyal sıçraması kesici delici aletle yaralanma bildirim </w:t>
      </w:r>
      <w:proofErr w:type="spellStart"/>
      <w:r w:rsidRPr="003C0296">
        <w:rPr>
          <w:rFonts w:asciiTheme="minorHAnsi" w:hAnsiTheme="minorHAnsi"/>
        </w:rPr>
        <w:t>formu’nun</w:t>
      </w:r>
      <w:proofErr w:type="spellEnd"/>
      <w:r w:rsidRPr="003C0296">
        <w:rPr>
          <w:rFonts w:asciiTheme="minorHAnsi" w:hAnsiTheme="minorHAnsi"/>
        </w:rPr>
        <w:t xml:space="preserve"> aslı ile </w:t>
      </w:r>
      <w:proofErr w:type="gramStart"/>
      <w:r w:rsidRPr="003C0296">
        <w:rPr>
          <w:rFonts w:asciiTheme="minorHAnsi" w:hAnsiTheme="minorHAnsi"/>
        </w:rPr>
        <w:t>enfeksiyon</w:t>
      </w:r>
      <w:proofErr w:type="gramEnd"/>
      <w:r w:rsidRPr="003C0296">
        <w:rPr>
          <w:rFonts w:asciiTheme="minorHAnsi" w:hAnsiTheme="minorHAnsi"/>
        </w:rPr>
        <w:t xml:space="preserve"> hastalıkları polikliniğine göndermelidir.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6.2.1.9.  Kirli materyal sıçraması kesici delici aletle yaralanma bildirim </w:t>
      </w:r>
      <w:proofErr w:type="spellStart"/>
      <w:r w:rsidRPr="003C0296">
        <w:rPr>
          <w:rFonts w:asciiTheme="minorHAnsi" w:hAnsiTheme="minorHAnsi"/>
        </w:rPr>
        <w:t>formu’nun</w:t>
      </w:r>
      <w:proofErr w:type="spellEnd"/>
      <w:r w:rsidRPr="003C0296">
        <w:rPr>
          <w:rFonts w:asciiTheme="minorHAnsi" w:hAnsiTheme="minorHAnsi"/>
        </w:rPr>
        <w:t xml:space="preserve"> ikinci nüshası </w:t>
      </w:r>
      <w:proofErr w:type="gramStart"/>
      <w:r w:rsidRPr="003C0296">
        <w:rPr>
          <w:rFonts w:asciiTheme="minorHAnsi" w:hAnsiTheme="minorHAnsi"/>
        </w:rPr>
        <w:t>enfeksiyon</w:t>
      </w:r>
      <w:proofErr w:type="gramEnd"/>
      <w:r w:rsidRPr="003C0296">
        <w:rPr>
          <w:rFonts w:asciiTheme="minorHAnsi" w:hAnsiTheme="minorHAnsi"/>
        </w:rPr>
        <w:t xml:space="preserve"> kontrol hemşiresi tarafından dosyalanmalıdır.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6.2.1.10. Temas sonrası izlem ve </w:t>
      </w:r>
      <w:proofErr w:type="spellStart"/>
      <w:r w:rsidRPr="003C0296">
        <w:rPr>
          <w:rFonts w:asciiTheme="minorHAnsi" w:hAnsiTheme="minorHAnsi"/>
        </w:rPr>
        <w:t>profilaksi</w:t>
      </w:r>
      <w:proofErr w:type="spellEnd"/>
      <w:r w:rsidRPr="003C0296">
        <w:rPr>
          <w:rFonts w:asciiTheme="minorHAnsi" w:hAnsiTheme="minorHAnsi"/>
        </w:rPr>
        <w:t xml:space="preserve"> uygulamaları </w:t>
      </w:r>
      <w:proofErr w:type="gramStart"/>
      <w:r w:rsidRPr="003C0296">
        <w:rPr>
          <w:rFonts w:asciiTheme="minorHAnsi" w:hAnsiTheme="minorHAnsi"/>
        </w:rPr>
        <w:t>enfeksiyon</w:t>
      </w:r>
      <w:proofErr w:type="gramEnd"/>
      <w:r w:rsidRPr="003C0296">
        <w:rPr>
          <w:rFonts w:asciiTheme="minorHAnsi" w:hAnsiTheme="minorHAnsi"/>
        </w:rPr>
        <w:t xml:space="preserve"> kontrol hemşiresi ve</w:t>
      </w:r>
    </w:p>
    <w:p w:rsid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 </w:t>
      </w:r>
      <w:proofErr w:type="gramStart"/>
      <w:r w:rsidRPr="003C0296">
        <w:rPr>
          <w:rFonts w:asciiTheme="minorHAnsi" w:hAnsiTheme="minorHAnsi"/>
        </w:rPr>
        <w:t>enfeksiyon  hastalıkları</w:t>
      </w:r>
      <w:proofErr w:type="gramEnd"/>
      <w:r w:rsidRPr="003C0296">
        <w:rPr>
          <w:rFonts w:asciiTheme="minorHAnsi" w:hAnsiTheme="minorHAnsi"/>
        </w:rPr>
        <w:t xml:space="preserve"> doktoru tarafından yürütülmelidir.</w:t>
      </w:r>
    </w:p>
    <w:p w:rsid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-243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4451"/>
        <w:gridCol w:w="1672"/>
        <w:gridCol w:w="1478"/>
      </w:tblGrid>
      <w:tr w:rsidR="003C0296" w:rsidTr="00D91A27">
        <w:tc>
          <w:tcPr>
            <w:tcW w:w="2639" w:type="dxa"/>
            <w:vMerge w:val="restart"/>
            <w:shd w:val="clear" w:color="auto" w:fill="auto"/>
          </w:tcPr>
          <w:p w:rsidR="003C0296" w:rsidRPr="0043491D" w:rsidRDefault="003C0296" w:rsidP="00D91A27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tr-TR"/>
              </w:rPr>
              <w:lastRenderedPageBreak/>
              <w:drawing>
                <wp:inline distT="0" distB="0" distL="0" distR="0" wp14:anchorId="20B382C1" wp14:editId="21ABE701">
                  <wp:extent cx="1439186" cy="826936"/>
                  <wp:effectExtent l="0" t="0" r="889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82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Merge w:val="restart"/>
            <w:shd w:val="clear" w:color="auto" w:fill="auto"/>
          </w:tcPr>
          <w:p w:rsidR="003C0296" w:rsidRPr="0043491D" w:rsidRDefault="003C0296" w:rsidP="00D91A27">
            <w:pPr>
              <w:rPr>
                <w:rFonts w:ascii="Calibri" w:hAnsi="Calibri"/>
              </w:rPr>
            </w:pPr>
          </w:p>
          <w:p w:rsidR="003C0296" w:rsidRPr="0043491D" w:rsidRDefault="003C0296" w:rsidP="00D91A27">
            <w:pPr>
              <w:jc w:val="center"/>
              <w:rPr>
                <w:rFonts w:ascii="Calibri" w:hAnsi="Calibri"/>
                <w:b/>
              </w:rPr>
            </w:pPr>
            <w:r w:rsidRPr="00CE381C">
              <w:rPr>
                <w:rFonts w:ascii="Calibri" w:hAnsi="Calibri"/>
                <w:b/>
                <w:bCs/>
              </w:rPr>
              <w:t>PERSONEL YARALANMALARI İZLEM TALİMATI</w:t>
            </w:r>
          </w:p>
        </w:tc>
        <w:tc>
          <w:tcPr>
            <w:tcW w:w="1672" w:type="dxa"/>
            <w:shd w:val="clear" w:color="auto" w:fill="auto"/>
          </w:tcPr>
          <w:p w:rsidR="003C0296" w:rsidRPr="00FD5A46" w:rsidRDefault="003C0296" w:rsidP="00D91A27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478" w:type="dxa"/>
            <w:shd w:val="clear" w:color="auto" w:fill="auto"/>
          </w:tcPr>
          <w:p w:rsidR="003C0296" w:rsidRPr="00CE381C" w:rsidRDefault="003C0296" w:rsidP="00D91A27">
            <w:pPr>
              <w:pStyle w:val="TableParagraph"/>
              <w:spacing w:line="225" w:lineRule="exact"/>
              <w:ind w:left="67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E381C">
              <w:rPr>
                <w:rFonts w:asciiTheme="minorHAnsi" w:hAnsiTheme="minorHAnsi"/>
                <w:sz w:val="20"/>
              </w:rPr>
              <w:t>EN.TL.14</w:t>
            </w:r>
          </w:p>
        </w:tc>
      </w:tr>
      <w:tr w:rsidR="003C0296" w:rsidTr="00D91A27">
        <w:tc>
          <w:tcPr>
            <w:tcW w:w="2639" w:type="dxa"/>
            <w:vMerge/>
            <w:shd w:val="clear" w:color="auto" w:fill="auto"/>
          </w:tcPr>
          <w:p w:rsidR="003C0296" w:rsidRDefault="003C0296" w:rsidP="00D91A27"/>
        </w:tc>
        <w:tc>
          <w:tcPr>
            <w:tcW w:w="4451" w:type="dxa"/>
            <w:vMerge/>
            <w:shd w:val="clear" w:color="auto" w:fill="auto"/>
          </w:tcPr>
          <w:p w:rsidR="003C0296" w:rsidRDefault="003C0296" w:rsidP="00D91A27"/>
        </w:tc>
        <w:tc>
          <w:tcPr>
            <w:tcW w:w="1672" w:type="dxa"/>
            <w:shd w:val="clear" w:color="auto" w:fill="auto"/>
          </w:tcPr>
          <w:p w:rsidR="003C0296" w:rsidRPr="00FD5A46" w:rsidRDefault="003C0296" w:rsidP="00D91A27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78" w:type="dxa"/>
            <w:shd w:val="clear" w:color="auto" w:fill="auto"/>
          </w:tcPr>
          <w:p w:rsidR="003C0296" w:rsidRPr="00CE381C" w:rsidRDefault="003C0296" w:rsidP="00D91A27">
            <w:pPr>
              <w:pStyle w:val="TableParagraph"/>
              <w:spacing w:line="225" w:lineRule="exact"/>
              <w:ind w:left="67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E381C">
              <w:rPr>
                <w:rFonts w:asciiTheme="minorHAnsi" w:hAnsiTheme="minorHAnsi"/>
                <w:sz w:val="20"/>
              </w:rPr>
              <w:t>22.11.2016</w:t>
            </w:r>
          </w:p>
        </w:tc>
      </w:tr>
      <w:tr w:rsidR="003C0296" w:rsidTr="00D91A27">
        <w:tc>
          <w:tcPr>
            <w:tcW w:w="2639" w:type="dxa"/>
            <w:vMerge/>
            <w:shd w:val="clear" w:color="auto" w:fill="auto"/>
          </w:tcPr>
          <w:p w:rsidR="003C0296" w:rsidRDefault="003C0296" w:rsidP="00D91A27"/>
        </w:tc>
        <w:tc>
          <w:tcPr>
            <w:tcW w:w="4451" w:type="dxa"/>
            <w:vMerge/>
            <w:shd w:val="clear" w:color="auto" w:fill="auto"/>
          </w:tcPr>
          <w:p w:rsidR="003C0296" w:rsidRDefault="003C0296" w:rsidP="00D91A27"/>
        </w:tc>
        <w:tc>
          <w:tcPr>
            <w:tcW w:w="1672" w:type="dxa"/>
            <w:shd w:val="clear" w:color="auto" w:fill="auto"/>
          </w:tcPr>
          <w:p w:rsidR="003C0296" w:rsidRPr="00FD5A46" w:rsidRDefault="003C0296" w:rsidP="00D91A27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78" w:type="dxa"/>
            <w:shd w:val="clear" w:color="auto" w:fill="auto"/>
          </w:tcPr>
          <w:p w:rsidR="003C0296" w:rsidRPr="00CE381C" w:rsidRDefault="003C0296" w:rsidP="00D91A27">
            <w:pPr>
              <w:pStyle w:val="TableParagraph"/>
              <w:spacing w:line="225" w:lineRule="exact"/>
              <w:ind w:left="67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E381C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3C0296" w:rsidTr="00D91A27">
        <w:tc>
          <w:tcPr>
            <w:tcW w:w="2639" w:type="dxa"/>
            <w:vMerge/>
            <w:shd w:val="clear" w:color="auto" w:fill="auto"/>
          </w:tcPr>
          <w:p w:rsidR="003C0296" w:rsidRDefault="003C0296" w:rsidP="00D91A27"/>
        </w:tc>
        <w:tc>
          <w:tcPr>
            <w:tcW w:w="4451" w:type="dxa"/>
            <w:vMerge/>
            <w:shd w:val="clear" w:color="auto" w:fill="auto"/>
          </w:tcPr>
          <w:p w:rsidR="003C0296" w:rsidRDefault="003C0296" w:rsidP="00D91A27"/>
        </w:tc>
        <w:tc>
          <w:tcPr>
            <w:tcW w:w="1672" w:type="dxa"/>
            <w:shd w:val="clear" w:color="auto" w:fill="auto"/>
          </w:tcPr>
          <w:p w:rsidR="003C0296" w:rsidRPr="00FD5A46" w:rsidRDefault="003C0296" w:rsidP="00D91A27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478" w:type="dxa"/>
            <w:shd w:val="clear" w:color="auto" w:fill="auto"/>
          </w:tcPr>
          <w:p w:rsidR="003C0296" w:rsidRPr="00CE381C" w:rsidRDefault="003C0296" w:rsidP="00D91A27">
            <w:pPr>
              <w:pStyle w:val="TableParagraph"/>
              <w:spacing w:line="225" w:lineRule="exact"/>
              <w:ind w:left="67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CE381C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3C0296" w:rsidTr="00D91A27">
        <w:tc>
          <w:tcPr>
            <w:tcW w:w="2639" w:type="dxa"/>
            <w:vMerge/>
            <w:shd w:val="clear" w:color="auto" w:fill="auto"/>
          </w:tcPr>
          <w:p w:rsidR="003C0296" w:rsidRDefault="003C0296" w:rsidP="00D91A27"/>
        </w:tc>
        <w:tc>
          <w:tcPr>
            <w:tcW w:w="4451" w:type="dxa"/>
            <w:vMerge/>
            <w:shd w:val="clear" w:color="auto" w:fill="auto"/>
          </w:tcPr>
          <w:p w:rsidR="003C0296" w:rsidRDefault="003C0296" w:rsidP="00D91A27"/>
        </w:tc>
        <w:tc>
          <w:tcPr>
            <w:tcW w:w="1672" w:type="dxa"/>
            <w:shd w:val="clear" w:color="auto" w:fill="auto"/>
          </w:tcPr>
          <w:p w:rsidR="003C0296" w:rsidRPr="00FD5A46" w:rsidRDefault="003C0296" w:rsidP="00D91A27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478" w:type="dxa"/>
            <w:shd w:val="clear" w:color="auto" w:fill="auto"/>
          </w:tcPr>
          <w:p w:rsidR="003C0296" w:rsidRPr="00FD5A46" w:rsidRDefault="003C0296" w:rsidP="00D91A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</w:t>
            </w:r>
          </w:p>
        </w:tc>
      </w:tr>
    </w:tbl>
    <w:p w:rsid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</w:p>
    <w:p w:rsid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</w:p>
    <w:p w:rsid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</w:p>
    <w:p w:rsid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</w:p>
    <w:p w:rsid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  <w:r w:rsidRPr="003C0296">
        <w:rPr>
          <w:rFonts w:asciiTheme="minorHAnsi" w:hAnsiTheme="minorHAnsi"/>
          <w:b/>
        </w:rPr>
        <w:t>6.3.</w:t>
      </w:r>
      <w:r w:rsidRPr="003C0296">
        <w:rPr>
          <w:rFonts w:asciiTheme="minorHAnsi" w:hAnsiTheme="minorHAnsi"/>
          <w:b/>
        </w:rPr>
        <w:t xml:space="preserve">Temas Sonrası İzlem ve </w:t>
      </w:r>
      <w:proofErr w:type="spellStart"/>
      <w:r w:rsidRPr="003C0296">
        <w:rPr>
          <w:rFonts w:asciiTheme="minorHAnsi" w:hAnsiTheme="minorHAnsi"/>
          <w:b/>
        </w:rPr>
        <w:t>Profilaksi</w:t>
      </w:r>
      <w:proofErr w:type="spellEnd"/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6.3.1.Yaralanan kişinin </w:t>
      </w:r>
      <w:proofErr w:type="spellStart"/>
      <w:r w:rsidRPr="003C0296">
        <w:rPr>
          <w:rFonts w:asciiTheme="minorHAnsi" w:hAnsiTheme="minorHAnsi"/>
        </w:rPr>
        <w:t>tetanoz</w:t>
      </w:r>
      <w:proofErr w:type="spellEnd"/>
      <w:r w:rsidRPr="003C0296">
        <w:rPr>
          <w:rFonts w:asciiTheme="minorHAnsi" w:hAnsiTheme="minorHAnsi"/>
        </w:rPr>
        <w:t xml:space="preserve"> </w:t>
      </w:r>
      <w:proofErr w:type="spellStart"/>
      <w:r w:rsidRPr="003C0296">
        <w:rPr>
          <w:rFonts w:asciiTheme="minorHAnsi" w:hAnsiTheme="minorHAnsi"/>
        </w:rPr>
        <w:t>profilaksisi</w:t>
      </w:r>
      <w:proofErr w:type="spellEnd"/>
      <w:r w:rsidRPr="003C0296">
        <w:rPr>
          <w:rFonts w:asciiTheme="minorHAnsi" w:hAnsiTheme="minorHAnsi"/>
        </w:rPr>
        <w:t xml:space="preserve"> ve HBV, HCV ve HIV açısından araştırılması yapılmalıdır.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  <w:r w:rsidRPr="003C0296">
        <w:rPr>
          <w:rFonts w:asciiTheme="minorHAnsi" w:hAnsiTheme="minorHAnsi"/>
          <w:b/>
        </w:rPr>
        <w:t xml:space="preserve">6.4.Temas Sonrası </w:t>
      </w:r>
      <w:proofErr w:type="spellStart"/>
      <w:r w:rsidRPr="003C0296">
        <w:rPr>
          <w:rFonts w:asciiTheme="minorHAnsi" w:hAnsiTheme="minorHAnsi"/>
          <w:b/>
        </w:rPr>
        <w:t>Tetanoz</w:t>
      </w:r>
      <w:proofErr w:type="spellEnd"/>
      <w:r w:rsidRPr="003C0296">
        <w:rPr>
          <w:rFonts w:asciiTheme="minorHAnsi" w:hAnsiTheme="minorHAnsi"/>
          <w:b/>
        </w:rPr>
        <w:t xml:space="preserve"> </w:t>
      </w:r>
      <w:proofErr w:type="spellStart"/>
      <w:r w:rsidRPr="003C0296">
        <w:rPr>
          <w:rFonts w:asciiTheme="minorHAnsi" w:hAnsiTheme="minorHAnsi"/>
          <w:b/>
        </w:rPr>
        <w:t>Profilaksisi</w:t>
      </w:r>
      <w:proofErr w:type="spellEnd"/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 6.4.1.Kesici-delici alet ile yaralanan kişinin </w:t>
      </w:r>
      <w:proofErr w:type="spellStart"/>
      <w:r w:rsidRPr="003C0296">
        <w:rPr>
          <w:rFonts w:asciiTheme="minorHAnsi" w:hAnsiTheme="minorHAnsi"/>
        </w:rPr>
        <w:t>tetanoz</w:t>
      </w:r>
      <w:proofErr w:type="spellEnd"/>
      <w:r w:rsidRPr="003C0296">
        <w:rPr>
          <w:rFonts w:asciiTheme="minorHAnsi" w:hAnsiTheme="minorHAnsi"/>
        </w:rPr>
        <w:t xml:space="preserve"> aşısı </w:t>
      </w:r>
      <w:proofErr w:type="gramStart"/>
      <w:r w:rsidRPr="003C0296">
        <w:rPr>
          <w:rFonts w:asciiTheme="minorHAnsi" w:hAnsiTheme="minorHAnsi"/>
        </w:rPr>
        <w:t>hikayesi</w:t>
      </w:r>
      <w:proofErr w:type="gramEnd"/>
      <w:r w:rsidRPr="003C0296">
        <w:rPr>
          <w:rFonts w:asciiTheme="minorHAnsi" w:hAnsiTheme="minorHAnsi"/>
        </w:rPr>
        <w:t xml:space="preserve"> sorgulanmalıdır.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3C0296">
        <w:rPr>
          <w:rFonts w:asciiTheme="minorHAnsi" w:hAnsiTheme="minorHAnsi"/>
        </w:rPr>
        <w:t xml:space="preserve">6.4.2.Tetanoz aşısı yapılmamışsa </w:t>
      </w:r>
      <w:proofErr w:type="spellStart"/>
      <w:r w:rsidRPr="003C0296">
        <w:rPr>
          <w:rFonts w:asciiTheme="minorHAnsi" w:hAnsiTheme="minorHAnsi"/>
        </w:rPr>
        <w:t>tetanoz</w:t>
      </w:r>
      <w:proofErr w:type="spellEnd"/>
      <w:r w:rsidRPr="003C0296">
        <w:rPr>
          <w:rFonts w:asciiTheme="minorHAnsi" w:hAnsiTheme="minorHAnsi"/>
        </w:rPr>
        <w:t xml:space="preserve"> aşısı yapılmalı, ayrıca yaralanmadan sonraki 24-72 saat içinde başvurulmuşsa eş zamanlı olarak diğer koldan da </w:t>
      </w:r>
      <w:proofErr w:type="spellStart"/>
      <w:r w:rsidRPr="003C0296">
        <w:rPr>
          <w:rFonts w:asciiTheme="minorHAnsi" w:hAnsiTheme="minorHAnsi"/>
        </w:rPr>
        <w:t>tetanoz</w:t>
      </w:r>
      <w:proofErr w:type="spellEnd"/>
      <w:r w:rsidRPr="003C0296">
        <w:rPr>
          <w:rFonts w:asciiTheme="minorHAnsi" w:hAnsiTheme="minorHAnsi"/>
        </w:rPr>
        <w:t xml:space="preserve"> </w:t>
      </w:r>
      <w:proofErr w:type="spellStart"/>
      <w:r w:rsidRPr="003C0296">
        <w:rPr>
          <w:rFonts w:asciiTheme="minorHAnsi" w:hAnsiTheme="minorHAnsi"/>
        </w:rPr>
        <w:t>immünglobilini</w:t>
      </w:r>
      <w:proofErr w:type="spellEnd"/>
      <w:r w:rsidRPr="003C0296">
        <w:rPr>
          <w:rFonts w:asciiTheme="minorHAnsi" w:hAnsiTheme="minorHAnsi"/>
        </w:rPr>
        <w:t xml:space="preserve"> yapılmalıdır.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 6.4.3.Tetanoz aşısı 1.ay ve 6.ay olmak üzere üç doza tamamlanmalıdır.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3C0296">
        <w:rPr>
          <w:rFonts w:asciiTheme="minorHAnsi" w:hAnsiTheme="minorHAnsi"/>
        </w:rPr>
        <w:t xml:space="preserve">6.4.4.Daha önce aşılanmış kişilerin yara tipi ve son aşı üzerinden geçen süre göz önüne alınarak aşılama şeması veya </w:t>
      </w:r>
      <w:proofErr w:type="spellStart"/>
      <w:r w:rsidRPr="003C0296">
        <w:rPr>
          <w:rFonts w:asciiTheme="minorHAnsi" w:hAnsiTheme="minorHAnsi"/>
        </w:rPr>
        <w:t>rapel</w:t>
      </w:r>
      <w:proofErr w:type="spellEnd"/>
      <w:r w:rsidRPr="003C0296">
        <w:rPr>
          <w:rFonts w:asciiTheme="minorHAnsi" w:hAnsiTheme="minorHAnsi"/>
        </w:rPr>
        <w:t xml:space="preserve"> doz yapılması planlanmalıdır.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  <w:r w:rsidRPr="003C0296">
        <w:rPr>
          <w:rFonts w:asciiTheme="minorHAnsi" w:hAnsiTheme="minorHAnsi"/>
          <w:b/>
        </w:rPr>
        <w:t xml:space="preserve">6.5.Temas Sonrası Hepatit B </w:t>
      </w:r>
      <w:proofErr w:type="spellStart"/>
      <w:r w:rsidRPr="003C0296">
        <w:rPr>
          <w:rFonts w:asciiTheme="minorHAnsi" w:hAnsiTheme="minorHAnsi"/>
          <w:b/>
        </w:rPr>
        <w:t>Profilaksisi</w:t>
      </w:r>
      <w:proofErr w:type="spellEnd"/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6.5.1.HBsAg pozitif bir hastanın kan veya diğer vücut sıvılarıyla iğne batması, </w:t>
      </w:r>
      <w:proofErr w:type="spellStart"/>
      <w:r w:rsidRPr="003C0296">
        <w:rPr>
          <w:rFonts w:asciiTheme="minorHAnsi" w:hAnsiTheme="minorHAnsi"/>
        </w:rPr>
        <w:t>mukoz</w:t>
      </w:r>
      <w:proofErr w:type="spellEnd"/>
      <w:r w:rsidRPr="003C0296">
        <w:rPr>
          <w:rFonts w:asciiTheme="minorHAnsi" w:hAnsiTheme="minorHAnsi"/>
        </w:rPr>
        <w:t xml:space="preserve"> </w:t>
      </w:r>
      <w:proofErr w:type="spellStart"/>
      <w:r w:rsidRPr="003C0296">
        <w:rPr>
          <w:rFonts w:asciiTheme="minorHAnsi" w:hAnsiTheme="minorHAnsi"/>
        </w:rPr>
        <w:t>membranlara</w:t>
      </w:r>
      <w:proofErr w:type="spellEnd"/>
      <w:r w:rsidRPr="003C0296">
        <w:rPr>
          <w:rFonts w:asciiTheme="minorHAnsi" w:hAnsiTheme="minorHAnsi"/>
        </w:rPr>
        <w:t xml:space="preserve"> sıçrama veya sağlam olmayan deriye bulaşma yoluyla temas eden sağlık personelinin anti </w:t>
      </w:r>
      <w:proofErr w:type="spellStart"/>
      <w:r w:rsidRPr="003C0296">
        <w:rPr>
          <w:rFonts w:asciiTheme="minorHAnsi" w:hAnsiTheme="minorHAnsi"/>
        </w:rPr>
        <w:t>HBs</w:t>
      </w:r>
      <w:proofErr w:type="spellEnd"/>
      <w:r w:rsidRPr="003C0296">
        <w:rPr>
          <w:rFonts w:asciiTheme="minorHAnsi" w:hAnsiTheme="minorHAnsi"/>
        </w:rPr>
        <w:t xml:space="preserve"> </w:t>
      </w:r>
      <w:proofErr w:type="gramStart"/>
      <w:r w:rsidRPr="003C0296">
        <w:rPr>
          <w:rFonts w:asciiTheme="minorHAnsi" w:hAnsiTheme="minorHAnsi"/>
        </w:rPr>
        <w:t>veya  anti</w:t>
      </w:r>
      <w:proofErr w:type="gramEnd"/>
      <w:r w:rsidRPr="003C0296">
        <w:rPr>
          <w:rFonts w:asciiTheme="minorHAnsi" w:hAnsiTheme="minorHAnsi"/>
        </w:rPr>
        <w:t xml:space="preserve"> </w:t>
      </w:r>
      <w:proofErr w:type="spellStart"/>
      <w:r w:rsidRPr="003C0296">
        <w:rPr>
          <w:rFonts w:asciiTheme="minorHAnsi" w:hAnsiTheme="minorHAnsi"/>
        </w:rPr>
        <w:t>HBc</w:t>
      </w:r>
      <w:proofErr w:type="spellEnd"/>
      <w:r w:rsidRPr="003C0296">
        <w:rPr>
          <w:rFonts w:asciiTheme="minorHAnsi" w:hAnsiTheme="minorHAnsi"/>
        </w:rPr>
        <w:t xml:space="preserve"> antikoru negatif ise (yaralanan kişi taşıyıcı veya bağışık değilse) ilk 24-72 saat içinde 0.06 </w:t>
      </w:r>
      <w:proofErr w:type="spellStart"/>
      <w:r w:rsidRPr="003C0296">
        <w:rPr>
          <w:rFonts w:asciiTheme="minorHAnsi" w:hAnsiTheme="minorHAnsi"/>
        </w:rPr>
        <w:t>mL</w:t>
      </w:r>
      <w:proofErr w:type="spellEnd"/>
      <w:r w:rsidRPr="003C0296">
        <w:rPr>
          <w:rFonts w:asciiTheme="minorHAnsi" w:hAnsiTheme="minorHAnsi"/>
        </w:rPr>
        <w:t xml:space="preserve">/kg hepatit B </w:t>
      </w:r>
      <w:proofErr w:type="spellStart"/>
      <w:r w:rsidRPr="003C0296">
        <w:rPr>
          <w:rFonts w:asciiTheme="minorHAnsi" w:hAnsiTheme="minorHAnsi"/>
        </w:rPr>
        <w:t>immünglobulin</w:t>
      </w:r>
      <w:proofErr w:type="spellEnd"/>
      <w:r w:rsidRPr="003C0296">
        <w:rPr>
          <w:rFonts w:asciiTheme="minorHAnsi" w:hAnsiTheme="minorHAnsi"/>
        </w:rPr>
        <w:t xml:space="preserve"> (</w:t>
      </w:r>
      <w:proofErr w:type="spellStart"/>
      <w:r w:rsidRPr="003C0296">
        <w:rPr>
          <w:rFonts w:asciiTheme="minorHAnsi" w:hAnsiTheme="minorHAnsi"/>
        </w:rPr>
        <w:t>HBIg</w:t>
      </w:r>
      <w:proofErr w:type="spellEnd"/>
      <w:r w:rsidRPr="003C0296">
        <w:rPr>
          <w:rFonts w:asciiTheme="minorHAnsi" w:hAnsiTheme="minorHAnsi"/>
        </w:rPr>
        <w:t>), eş zamanlı olarak diğer koldan da hepatit B aşısı yapılmalıdır. Ve takiben 1ay ve 6 ay sonra aynı doz aşı tekrarlanarak aşı şeması tamamlanmalıdır. Aşı uygulaması 0,1, 2 ve 12.ay şeklinde de yapılabilir.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6.5.2.Kan ve vücut sıvısı ile temas edilen hastanın ve/veya temas eden sağlık personelinin </w:t>
      </w:r>
      <w:proofErr w:type="spellStart"/>
      <w:r w:rsidRPr="003C0296">
        <w:rPr>
          <w:rFonts w:asciiTheme="minorHAnsi" w:hAnsiTheme="minorHAnsi"/>
        </w:rPr>
        <w:t>serolojik</w:t>
      </w:r>
      <w:proofErr w:type="spellEnd"/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proofErr w:type="gramStart"/>
      <w:r w:rsidRPr="003C0296">
        <w:rPr>
          <w:rFonts w:asciiTheme="minorHAnsi" w:hAnsiTheme="minorHAnsi"/>
        </w:rPr>
        <w:t>durumları</w:t>
      </w:r>
      <w:proofErr w:type="gramEnd"/>
      <w:r w:rsidRPr="003C0296">
        <w:rPr>
          <w:rFonts w:asciiTheme="minorHAnsi" w:hAnsiTheme="minorHAnsi"/>
        </w:rPr>
        <w:t xml:space="preserve"> bilinmiyorsa, hemen aşı uygulamasına başlanmalı, ilk 48-72 saat içinde </w:t>
      </w:r>
      <w:proofErr w:type="spellStart"/>
      <w:r w:rsidRPr="003C0296">
        <w:rPr>
          <w:rFonts w:asciiTheme="minorHAnsi" w:hAnsiTheme="minorHAnsi"/>
        </w:rPr>
        <w:t>serolojik</w:t>
      </w:r>
      <w:proofErr w:type="spellEnd"/>
      <w:r w:rsidRPr="003C0296">
        <w:rPr>
          <w:rFonts w:asciiTheme="minorHAnsi" w:hAnsiTheme="minorHAnsi"/>
        </w:rPr>
        <w:t xml:space="preserve"> veriler elde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proofErr w:type="gramStart"/>
      <w:r w:rsidRPr="003C0296">
        <w:rPr>
          <w:rFonts w:asciiTheme="minorHAnsi" w:hAnsiTheme="minorHAnsi"/>
        </w:rPr>
        <w:t>edilebiliyorsa</w:t>
      </w:r>
      <w:proofErr w:type="gramEnd"/>
      <w:r w:rsidRPr="003C0296">
        <w:rPr>
          <w:rFonts w:asciiTheme="minorHAnsi" w:hAnsiTheme="minorHAnsi"/>
        </w:rPr>
        <w:t xml:space="preserve">, sonuçlar elde edildiğinde hastada </w:t>
      </w:r>
      <w:proofErr w:type="spellStart"/>
      <w:r w:rsidRPr="003C0296">
        <w:rPr>
          <w:rFonts w:asciiTheme="minorHAnsi" w:hAnsiTheme="minorHAnsi"/>
        </w:rPr>
        <w:t>HBsAg</w:t>
      </w:r>
      <w:proofErr w:type="spellEnd"/>
      <w:r w:rsidRPr="003C0296">
        <w:rPr>
          <w:rFonts w:asciiTheme="minorHAnsi" w:hAnsiTheme="minorHAnsi"/>
        </w:rPr>
        <w:t xml:space="preserve"> pozitif, buna karşın yaralanan sağlık personeli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proofErr w:type="gramStart"/>
      <w:r w:rsidRPr="003C0296">
        <w:rPr>
          <w:rFonts w:asciiTheme="minorHAnsi" w:hAnsiTheme="minorHAnsi"/>
        </w:rPr>
        <w:t>taşıyıcı</w:t>
      </w:r>
      <w:proofErr w:type="gramEnd"/>
      <w:r w:rsidRPr="003C0296">
        <w:rPr>
          <w:rFonts w:asciiTheme="minorHAnsi" w:hAnsiTheme="minorHAnsi"/>
        </w:rPr>
        <w:t xml:space="preserve"> veya bağışık değilse 0.06 </w:t>
      </w:r>
      <w:proofErr w:type="spellStart"/>
      <w:r w:rsidRPr="003C0296">
        <w:rPr>
          <w:rFonts w:asciiTheme="minorHAnsi" w:hAnsiTheme="minorHAnsi"/>
        </w:rPr>
        <w:t>mL</w:t>
      </w:r>
      <w:proofErr w:type="spellEnd"/>
      <w:r w:rsidRPr="003C0296">
        <w:rPr>
          <w:rFonts w:asciiTheme="minorHAnsi" w:hAnsiTheme="minorHAnsi"/>
        </w:rPr>
        <w:t xml:space="preserve">/kg </w:t>
      </w:r>
      <w:proofErr w:type="spellStart"/>
      <w:r w:rsidRPr="003C0296">
        <w:rPr>
          <w:rFonts w:asciiTheme="minorHAnsi" w:hAnsiTheme="minorHAnsi"/>
        </w:rPr>
        <w:t>HBIg</w:t>
      </w:r>
      <w:proofErr w:type="spellEnd"/>
      <w:r w:rsidRPr="003C0296">
        <w:rPr>
          <w:rFonts w:asciiTheme="minorHAnsi" w:hAnsiTheme="minorHAnsi"/>
        </w:rPr>
        <w:t xml:space="preserve"> </w:t>
      </w:r>
      <w:proofErr w:type="spellStart"/>
      <w:r w:rsidRPr="003C0296">
        <w:rPr>
          <w:rFonts w:asciiTheme="minorHAnsi" w:hAnsiTheme="minorHAnsi"/>
        </w:rPr>
        <w:t>intramüsküler</w:t>
      </w:r>
      <w:proofErr w:type="spellEnd"/>
      <w:r w:rsidRPr="003C0296">
        <w:rPr>
          <w:rFonts w:asciiTheme="minorHAnsi" w:hAnsiTheme="minorHAnsi"/>
        </w:rPr>
        <w:t xml:space="preserve"> yolla yapılmalıdır.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6.5.3.Anti </w:t>
      </w:r>
      <w:proofErr w:type="spellStart"/>
      <w:r w:rsidRPr="003C0296">
        <w:rPr>
          <w:rFonts w:asciiTheme="minorHAnsi" w:hAnsiTheme="minorHAnsi"/>
        </w:rPr>
        <w:t>HBs</w:t>
      </w:r>
      <w:proofErr w:type="spellEnd"/>
      <w:r w:rsidRPr="003C0296">
        <w:rPr>
          <w:rFonts w:asciiTheme="minorHAnsi" w:hAnsiTheme="minorHAnsi"/>
        </w:rPr>
        <w:t xml:space="preserve"> ve/veya anti </w:t>
      </w:r>
      <w:proofErr w:type="spellStart"/>
      <w:r w:rsidRPr="003C0296">
        <w:rPr>
          <w:rFonts w:asciiTheme="minorHAnsi" w:hAnsiTheme="minorHAnsi"/>
        </w:rPr>
        <w:t>HBc</w:t>
      </w:r>
      <w:proofErr w:type="spellEnd"/>
      <w:r w:rsidRPr="003C0296">
        <w:rPr>
          <w:rFonts w:asciiTheme="minorHAnsi" w:hAnsiTheme="minorHAnsi"/>
        </w:rPr>
        <w:t xml:space="preserve"> antikoru pozitif olan sağlık personeline temas sonrası aşı veya </w:t>
      </w:r>
      <w:proofErr w:type="spellStart"/>
      <w:r w:rsidRPr="003C0296">
        <w:rPr>
          <w:rFonts w:asciiTheme="minorHAnsi" w:hAnsiTheme="minorHAnsi"/>
        </w:rPr>
        <w:t>HBIg</w:t>
      </w:r>
      <w:proofErr w:type="spellEnd"/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proofErr w:type="gramStart"/>
      <w:r w:rsidRPr="003C0296">
        <w:rPr>
          <w:rFonts w:asciiTheme="minorHAnsi" w:hAnsiTheme="minorHAnsi"/>
        </w:rPr>
        <w:t>uygulanmasına</w:t>
      </w:r>
      <w:proofErr w:type="gramEnd"/>
      <w:r w:rsidRPr="003C0296">
        <w:rPr>
          <w:rFonts w:asciiTheme="minorHAnsi" w:hAnsiTheme="minorHAnsi"/>
        </w:rPr>
        <w:t xml:space="preserve"> gerek yoktur.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>6.5.4.Daha önceden aşılama şeması tamamlanmış, kan ve diğer vücut sıvılarıyla yoğun teması olan sağlık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proofErr w:type="gramStart"/>
      <w:r w:rsidRPr="003C0296">
        <w:rPr>
          <w:rFonts w:asciiTheme="minorHAnsi" w:hAnsiTheme="minorHAnsi"/>
        </w:rPr>
        <w:t>personelinin</w:t>
      </w:r>
      <w:proofErr w:type="gramEnd"/>
      <w:r w:rsidRPr="003C0296">
        <w:rPr>
          <w:rFonts w:asciiTheme="minorHAnsi" w:hAnsiTheme="minorHAnsi"/>
        </w:rPr>
        <w:t xml:space="preserve"> antikor </w:t>
      </w:r>
      <w:proofErr w:type="spellStart"/>
      <w:r w:rsidRPr="003C0296">
        <w:rPr>
          <w:rFonts w:asciiTheme="minorHAnsi" w:hAnsiTheme="minorHAnsi"/>
        </w:rPr>
        <w:t>titresi</w:t>
      </w:r>
      <w:proofErr w:type="spellEnd"/>
      <w:r w:rsidRPr="003C0296">
        <w:rPr>
          <w:rFonts w:asciiTheme="minorHAnsi" w:hAnsiTheme="minorHAnsi"/>
        </w:rPr>
        <w:t xml:space="preserve"> 10 IU/</w:t>
      </w:r>
      <w:proofErr w:type="spellStart"/>
      <w:r w:rsidRPr="003C0296">
        <w:rPr>
          <w:rFonts w:asciiTheme="minorHAnsi" w:hAnsiTheme="minorHAnsi"/>
        </w:rPr>
        <w:t>mL’nin</w:t>
      </w:r>
      <w:proofErr w:type="spellEnd"/>
      <w:r w:rsidRPr="003C0296">
        <w:rPr>
          <w:rFonts w:asciiTheme="minorHAnsi" w:hAnsiTheme="minorHAnsi"/>
        </w:rPr>
        <w:t xml:space="preserve"> altına düştüğünde tek doz </w:t>
      </w:r>
      <w:proofErr w:type="spellStart"/>
      <w:r w:rsidRPr="003C0296">
        <w:rPr>
          <w:rFonts w:asciiTheme="minorHAnsi" w:hAnsiTheme="minorHAnsi"/>
        </w:rPr>
        <w:t>rapel</w:t>
      </w:r>
      <w:proofErr w:type="spellEnd"/>
      <w:r w:rsidRPr="003C0296">
        <w:rPr>
          <w:rFonts w:asciiTheme="minorHAnsi" w:hAnsiTheme="minorHAnsi"/>
        </w:rPr>
        <w:t xml:space="preserve"> aşı yapılmalıdır.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  <w:r w:rsidRPr="003C0296">
        <w:rPr>
          <w:rFonts w:asciiTheme="minorHAnsi" w:hAnsiTheme="minorHAnsi"/>
          <w:b/>
        </w:rPr>
        <w:t xml:space="preserve">6.6.Hepatit C </w:t>
      </w:r>
      <w:proofErr w:type="spellStart"/>
      <w:r w:rsidRPr="003C0296">
        <w:rPr>
          <w:rFonts w:asciiTheme="minorHAnsi" w:hAnsiTheme="minorHAnsi"/>
          <w:b/>
        </w:rPr>
        <w:t>Profilaksisi</w:t>
      </w:r>
      <w:proofErr w:type="spellEnd"/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6.6.1.HCV antikoru taşıyan bir kişinin kanıyla temas eden sağlık personeline öncelikle </w:t>
      </w:r>
      <w:proofErr w:type="gramStart"/>
      <w:r w:rsidRPr="003C0296">
        <w:rPr>
          <w:rFonts w:asciiTheme="minorHAnsi" w:hAnsiTheme="minorHAnsi"/>
        </w:rPr>
        <w:t>lokal</w:t>
      </w:r>
      <w:proofErr w:type="gramEnd"/>
      <w:r w:rsidRPr="003C0296">
        <w:rPr>
          <w:rFonts w:asciiTheme="minorHAnsi" w:hAnsiTheme="minorHAnsi"/>
        </w:rPr>
        <w:t xml:space="preserve"> bakım önerileri</w:t>
      </w:r>
    </w:p>
    <w:p w:rsid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proofErr w:type="gramStart"/>
      <w:r w:rsidRPr="003C0296">
        <w:rPr>
          <w:rFonts w:asciiTheme="minorHAnsi" w:hAnsiTheme="minorHAnsi"/>
        </w:rPr>
        <w:t>verilmelidir</w:t>
      </w:r>
      <w:proofErr w:type="gramEnd"/>
      <w:r w:rsidRPr="003C0296">
        <w:rPr>
          <w:rFonts w:asciiTheme="minorHAnsi" w:hAnsiTheme="minorHAnsi"/>
        </w:rPr>
        <w:t>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>6.6.2.Yaralanma sonrası HCV RNA 2-8 haftalar arasında, ALT ve anti-HCV Ab testleri ise hemen ve 3. ay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proofErr w:type="gramStart"/>
      <w:r w:rsidRPr="003C0296">
        <w:rPr>
          <w:rFonts w:asciiTheme="minorHAnsi" w:hAnsiTheme="minorHAnsi"/>
        </w:rPr>
        <w:t>ve</w:t>
      </w:r>
      <w:proofErr w:type="gramEnd"/>
      <w:r w:rsidRPr="003C0296">
        <w:rPr>
          <w:rFonts w:asciiTheme="minorHAnsi" w:hAnsiTheme="minorHAnsi"/>
        </w:rPr>
        <w:t xml:space="preserve"> 6. ay sonunda yapılmalıdır.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>6.6.3.İmmünglobilin uygulaması yararsız olması nedeniyle yapılmamalıdır.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6.6.4.HCV ile bulaş sonrası iki hafta içinde </w:t>
      </w:r>
      <w:proofErr w:type="spellStart"/>
      <w:r w:rsidRPr="003C0296">
        <w:rPr>
          <w:rFonts w:asciiTheme="minorHAnsi" w:hAnsiTheme="minorHAnsi"/>
        </w:rPr>
        <w:t>polimeraz</w:t>
      </w:r>
      <w:proofErr w:type="spellEnd"/>
      <w:r w:rsidRPr="003C0296">
        <w:rPr>
          <w:rFonts w:asciiTheme="minorHAnsi" w:hAnsiTheme="minorHAnsi"/>
        </w:rPr>
        <w:t xml:space="preserve"> zincir reaksiyonu (PCR) ile HCV genomu tespit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proofErr w:type="gramStart"/>
      <w:r w:rsidRPr="003C0296">
        <w:rPr>
          <w:rFonts w:asciiTheme="minorHAnsi" w:hAnsiTheme="minorHAnsi"/>
        </w:rPr>
        <w:t>edilebilmekte</w:t>
      </w:r>
      <w:proofErr w:type="gramEnd"/>
      <w:r w:rsidRPr="003C0296">
        <w:rPr>
          <w:rFonts w:asciiTheme="minorHAnsi" w:hAnsiTheme="minorHAnsi"/>
        </w:rPr>
        <w:t xml:space="preserve"> bu nedenle erken tanıda kullanılabilmektedir. HCV RNA istemi </w:t>
      </w:r>
      <w:proofErr w:type="gramStart"/>
      <w:r w:rsidRPr="003C0296">
        <w:rPr>
          <w:rFonts w:asciiTheme="minorHAnsi" w:hAnsiTheme="minorHAnsi"/>
        </w:rPr>
        <w:t>enfeksiyon</w:t>
      </w:r>
      <w:proofErr w:type="gramEnd"/>
      <w:r w:rsidRPr="003C0296">
        <w:rPr>
          <w:rFonts w:asciiTheme="minorHAnsi" w:hAnsiTheme="minorHAnsi"/>
        </w:rPr>
        <w:t xml:space="preserve"> hastalıkları doktoru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proofErr w:type="gramStart"/>
      <w:r w:rsidRPr="003C0296">
        <w:rPr>
          <w:rFonts w:asciiTheme="minorHAnsi" w:hAnsiTheme="minorHAnsi"/>
        </w:rPr>
        <w:t>tarafından</w:t>
      </w:r>
      <w:proofErr w:type="gramEnd"/>
      <w:r w:rsidRPr="003C0296">
        <w:rPr>
          <w:rFonts w:asciiTheme="minorHAnsi" w:hAnsiTheme="minorHAnsi"/>
        </w:rPr>
        <w:t xml:space="preserve"> planlanmalıdır.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  <w:b/>
        </w:rPr>
      </w:pPr>
      <w:r w:rsidRPr="003C0296">
        <w:rPr>
          <w:rFonts w:asciiTheme="minorHAnsi" w:hAnsiTheme="minorHAnsi"/>
          <w:b/>
        </w:rPr>
        <w:t xml:space="preserve">6.7.Temas Sonrası HIV </w:t>
      </w:r>
      <w:proofErr w:type="spellStart"/>
      <w:r w:rsidRPr="003C0296">
        <w:rPr>
          <w:rFonts w:asciiTheme="minorHAnsi" w:hAnsiTheme="minorHAnsi"/>
          <w:b/>
        </w:rPr>
        <w:t>Profilaksisi</w:t>
      </w:r>
      <w:proofErr w:type="spellEnd"/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>6.7.1.HIV ile bulaş şüphesi varsa hemen bazal olarak anti HIV bakılmalı, 6.hafta, 3.ay ve 6.ay sonrası test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proofErr w:type="gramStart"/>
      <w:r w:rsidRPr="003C0296">
        <w:rPr>
          <w:rFonts w:asciiTheme="minorHAnsi" w:hAnsiTheme="minorHAnsi"/>
        </w:rPr>
        <w:t>tekrarlanmalıdır</w:t>
      </w:r>
      <w:proofErr w:type="gramEnd"/>
      <w:r w:rsidRPr="003C0296">
        <w:rPr>
          <w:rFonts w:asciiTheme="minorHAnsi" w:hAnsiTheme="minorHAnsi"/>
        </w:rPr>
        <w:t>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6.7.2.Yaralanan personele </w:t>
      </w:r>
      <w:proofErr w:type="spellStart"/>
      <w:r w:rsidRPr="003C0296">
        <w:rPr>
          <w:rFonts w:asciiTheme="minorHAnsi" w:hAnsiTheme="minorHAnsi"/>
        </w:rPr>
        <w:t>antiretroviral</w:t>
      </w:r>
      <w:proofErr w:type="spellEnd"/>
      <w:r w:rsidRPr="003C0296">
        <w:rPr>
          <w:rFonts w:asciiTheme="minorHAnsi" w:hAnsiTheme="minorHAnsi"/>
        </w:rPr>
        <w:t xml:space="preserve"> </w:t>
      </w:r>
      <w:proofErr w:type="spellStart"/>
      <w:r w:rsidRPr="003C0296">
        <w:rPr>
          <w:rFonts w:asciiTheme="minorHAnsi" w:hAnsiTheme="minorHAnsi"/>
        </w:rPr>
        <w:t>profilaksi</w:t>
      </w:r>
      <w:proofErr w:type="spellEnd"/>
      <w:r w:rsidRPr="003C0296">
        <w:rPr>
          <w:rFonts w:asciiTheme="minorHAnsi" w:hAnsiTheme="minorHAnsi"/>
        </w:rPr>
        <w:t xml:space="preserve"> uygulanmasına </w:t>
      </w:r>
      <w:proofErr w:type="gramStart"/>
      <w:r w:rsidRPr="003C0296">
        <w:rPr>
          <w:rFonts w:asciiTheme="minorHAnsi" w:hAnsiTheme="minorHAnsi"/>
        </w:rPr>
        <w:t>enfeksiyon</w:t>
      </w:r>
      <w:proofErr w:type="gramEnd"/>
      <w:r w:rsidRPr="003C0296">
        <w:rPr>
          <w:rFonts w:asciiTheme="minorHAnsi" w:hAnsiTheme="minorHAnsi"/>
        </w:rPr>
        <w:t xml:space="preserve"> hastalıkları doktoru tarafından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proofErr w:type="gramStart"/>
      <w:r w:rsidRPr="003C0296">
        <w:rPr>
          <w:rFonts w:asciiTheme="minorHAnsi" w:hAnsiTheme="minorHAnsi"/>
        </w:rPr>
        <w:t>karar</w:t>
      </w:r>
      <w:proofErr w:type="gramEnd"/>
      <w:r w:rsidRPr="003C0296">
        <w:rPr>
          <w:rFonts w:asciiTheme="minorHAnsi" w:hAnsiTheme="minorHAnsi"/>
        </w:rPr>
        <w:t xml:space="preserve"> verilmelidir.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6.7.3.HIV için etkinliği kanıtlanmış aşı ve </w:t>
      </w:r>
      <w:proofErr w:type="spellStart"/>
      <w:r w:rsidRPr="003C0296">
        <w:rPr>
          <w:rFonts w:asciiTheme="minorHAnsi" w:hAnsiTheme="minorHAnsi"/>
        </w:rPr>
        <w:t>immünglobulin</w:t>
      </w:r>
      <w:proofErr w:type="spellEnd"/>
      <w:r w:rsidRPr="003C0296">
        <w:rPr>
          <w:rFonts w:asciiTheme="minorHAnsi" w:hAnsiTheme="minorHAnsi"/>
        </w:rPr>
        <w:t xml:space="preserve"> yoktur.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>6.7.4.Tedaviye temas sonrası mümkün olan en kısa sürede, ideali bir saat içinde başlanmalıdır.</w:t>
      </w:r>
    </w:p>
    <w:p w:rsidR="003C0296" w:rsidRP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r w:rsidRPr="003C0296">
        <w:rPr>
          <w:rFonts w:asciiTheme="minorHAnsi" w:hAnsiTheme="minorHAnsi"/>
        </w:rPr>
        <w:t xml:space="preserve">6.7.5.Profilaksi için </w:t>
      </w:r>
      <w:proofErr w:type="spellStart"/>
      <w:r w:rsidRPr="003C0296">
        <w:rPr>
          <w:rFonts w:asciiTheme="minorHAnsi" w:hAnsiTheme="minorHAnsi"/>
        </w:rPr>
        <w:t>zidovudin</w:t>
      </w:r>
      <w:proofErr w:type="spellEnd"/>
      <w:r w:rsidRPr="003C0296">
        <w:rPr>
          <w:rFonts w:asciiTheme="minorHAnsi" w:hAnsiTheme="minorHAnsi"/>
        </w:rPr>
        <w:t xml:space="preserve"> (AZT) ve </w:t>
      </w:r>
      <w:proofErr w:type="spellStart"/>
      <w:r w:rsidRPr="003C0296">
        <w:rPr>
          <w:rFonts w:asciiTheme="minorHAnsi" w:hAnsiTheme="minorHAnsi"/>
        </w:rPr>
        <w:t>lamuvidin</w:t>
      </w:r>
      <w:proofErr w:type="spellEnd"/>
      <w:r w:rsidRPr="003C0296">
        <w:rPr>
          <w:rFonts w:asciiTheme="minorHAnsi" w:hAnsiTheme="minorHAnsi"/>
        </w:rPr>
        <w:t xml:space="preserve"> </w:t>
      </w:r>
      <w:proofErr w:type="gramStart"/>
      <w:r w:rsidRPr="003C0296">
        <w:rPr>
          <w:rFonts w:asciiTheme="minorHAnsi" w:hAnsiTheme="minorHAnsi"/>
        </w:rPr>
        <w:t>kombinasyonu</w:t>
      </w:r>
      <w:proofErr w:type="gramEnd"/>
      <w:r w:rsidRPr="003C0296">
        <w:rPr>
          <w:rFonts w:asciiTheme="minorHAnsi" w:hAnsiTheme="minorHAnsi"/>
        </w:rPr>
        <w:t xml:space="preserve"> uygulanmalıdır. Eğer temasın yoğun olduğu</w:t>
      </w:r>
    </w:p>
    <w:p w:rsidR="003C0296" w:rsidRDefault="003C0296" w:rsidP="003C0296">
      <w:pPr>
        <w:tabs>
          <w:tab w:val="left" w:pos="964"/>
        </w:tabs>
        <w:ind w:left="709"/>
        <w:rPr>
          <w:rFonts w:asciiTheme="minorHAnsi" w:hAnsiTheme="minorHAnsi"/>
        </w:rPr>
      </w:pPr>
      <w:proofErr w:type="gramStart"/>
      <w:r w:rsidRPr="003C0296">
        <w:rPr>
          <w:rFonts w:asciiTheme="minorHAnsi" w:hAnsiTheme="minorHAnsi"/>
        </w:rPr>
        <w:t>düşünülüyorsa</w:t>
      </w:r>
      <w:proofErr w:type="gramEnd"/>
      <w:r w:rsidRPr="003C0296">
        <w:rPr>
          <w:rFonts w:asciiTheme="minorHAnsi" w:hAnsiTheme="minorHAnsi"/>
        </w:rPr>
        <w:t xml:space="preserve"> kombinasyona </w:t>
      </w:r>
      <w:proofErr w:type="spellStart"/>
      <w:r w:rsidRPr="003C0296">
        <w:rPr>
          <w:rFonts w:asciiTheme="minorHAnsi" w:hAnsiTheme="minorHAnsi"/>
        </w:rPr>
        <w:t>indinavir</w:t>
      </w:r>
      <w:proofErr w:type="spellEnd"/>
      <w:r w:rsidRPr="003C0296">
        <w:rPr>
          <w:rFonts w:asciiTheme="minorHAnsi" w:hAnsiTheme="minorHAnsi"/>
        </w:rPr>
        <w:t xml:space="preserve"> ilave edilmelidir. </w:t>
      </w:r>
      <w:proofErr w:type="spellStart"/>
      <w:r w:rsidRPr="003C0296">
        <w:rPr>
          <w:rFonts w:asciiTheme="minorHAnsi" w:hAnsiTheme="minorHAnsi"/>
        </w:rPr>
        <w:t>Profilaksi</w:t>
      </w:r>
      <w:proofErr w:type="spellEnd"/>
      <w:r w:rsidRPr="003C0296">
        <w:rPr>
          <w:rFonts w:asciiTheme="minorHAnsi" w:hAnsiTheme="minorHAnsi"/>
        </w:rPr>
        <w:t xml:space="preserve"> 28 gün süreyle uygulanmalıdır</w:t>
      </w:r>
    </w:p>
    <w:tbl>
      <w:tblPr>
        <w:tblStyle w:val="TableNormal"/>
        <w:tblpPr w:leftFromText="141" w:rightFromText="141" w:vertAnchor="text" w:horzAnchor="margin" w:tblpXSpec="center" w:tblpY="185"/>
        <w:tblW w:w="0" w:type="auto"/>
        <w:tblLayout w:type="fixed"/>
        <w:tblLook w:val="01E0" w:firstRow="1" w:lastRow="1" w:firstColumn="1" w:lastColumn="1" w:noHBand="0" w:noVBand="0"/>
      </w:tblPr>
      <w:tblGrid>
        <w:gridCol w:w="3453"/>
        <w:gridCol w:w="3600"/>
        <w:gridCol w:w="3153"/>
      </w:tblGrid>
      <w:tr w:rsidR="003C0296" w:rsidRPr="00590177" w:rsidTr="003C0296">
        <w:trPr>
          <w:trHeight w:hRule="exact" w:val="36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6" w:rsidRPr="00590177" w:rsidRDefault="003C0296" w:rsidP="003C0296">
            <w:pPr>
              <w:pStyle w:val="TableParagraph"/>
              <w:spacing w:line="220" w:lineRule="exact"/>
              <w:ind w:left="105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90177">
              <w:rPr>
                <w:rFonts w:asciiTheme="minorHAnsi" w:hAnsiTheme="minorHAnsi"/>
                <w:b/>
                <w:sz w:val="20"/>
              </w:rPr>
              <w:t>HAZIRLAYAN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6" w:rsidRPr="00590177" w:rsidRDefault="003C0296" w:rsidP="003C0296">
            <w:pPr>
              <w:pStyle w:val="TableParagraph"/>
              <w:spacing w:line="220" w:lineRule="exact"/>
              <w:ind w:left="105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b/>
                <w:sz w:val="20"/>
              </w:rPr>
              <w:t>KONTROL EDEN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6" w:rsidRPr="00590177" w:rsidRDefault="003C0296" w:rsidP="003C0296">
            <w:pPr>
              <w:pStyle w:val="TableParagraph"/>
              <w:spacing w:line="220" w:lineRule="exact"/>
              <w:ind w:left="105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90177">
              <w:rPr>
                <w:rFonts w:asciiTheme="minorHAnsi" w:hAnsiTheme="minorHAnsi"/>
                <w:b/>
                <w:sz w:val="20"/>
              </w:rPr>
              <w:t>ONAYLAYAN</w:t>
            </w:r>
          </w:p>
        </w:tc>
      </w:tr>
      <w:tr w:rsidR="003C0296" w:rsidRPr="00590177" w:rsidTr="003C0296">
        <w:trPr>
          <w:trHeight w:hRule="exact" w:val="352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6" w:rsidRPr="00590177" w:rsidRDefault="003C0296" w:rsidP="003C0296">
            <w:pPr>
              <w:pStyle w:val="TableParagraph"/>
              <w:spacing w:line="225" w:lineRule="exact"/>
              <w:ind w:left="105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90177">
              <w:rPr>
                <w:rFonts w:asciiTheme="minorHAnsi" w:hAnsiTheme="minorHAnsi"/>
                <w:sz w:val="20"/>
              </w:rPr>
              <w:t>ENFEKSIYON KONTROL</w:t>
            </w:r>
            <w:r w:rsidRPr="00590177">
              <w:rPr>
                <w:rFonts w:asciiTheme="minorHAnsi" w:hAnsiTheme="minorHAnsi"/>
                <w:spacing w:val="-11"/>
                <w:sz w:val="20"/>
              </w:rPr>
              <w:t xml:space="preserve"> </w:t>
            </w:r>
            <w:r w:rsidRPr="00590177">
              <w:rPr>
                <w:rFonts w:asciiTheme="minorHAnsi" w:hAnsiTheme="minorHAnsi"/>
                <w:sz w:val="20"/>
              </w:rPr>
              <w:t>KOMITESI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6" w:rsidRPr="00590177" w:rsidRDefault="003C0296" w:rsidP="003C0296">
            <w:pPr>
              <w:pStyle w:val="TableParagraph"/>
              <w:spacing w:line="225" w:lineRule="exact"/>
              <w:ind w:left="105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90177">
              <w:rPr>
                <w:rFonts w:asciiTheme="minorHAnsi" w:eastAsia="Arial" w:hAnsiTheme="minorHAnsi" w:cs="Arial"/>
                <w:sz w:val="20"/>
                <w:szCs w:val="20"/>
              </w:rPr>
              <w:t>PERFORMANS VE KALITE BIRIMI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96" w:rsidRPr="00590177" w:rsidRDefault="003C0296" w:rsidP="003C0296">
            <w:pPr>
              <w:pStyle w:val="TableParagraph"/>
              <w:spacing w:line="225" w:lineRule="exact"/>
              <w:ind w:left="105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90177">
              <w:rPr>
                <w:rFonts w:asciiTheme="minorHAnsi" w:hAnsiTheme="minorHAnsi"/>
                <w:sz w:val="20"/>
              </w:rPr>
              <w:t>BAŞHEKIM</w:t>
            </w:r>
          </w:p>
        </w:tc>
      </w:tr>
    </w:tbl>
    <w:p w:rsidR="003C0296" w:rsidRDefault="003C0296" w:rsidP="003C0296">
      <w:pPr>
        <w:rPr>
          <w:rFonts w:asciiTheme="minorHAnsi" w:hAnsiTheme="minorHAnsi"/>
        </w:rPr>
      </w:pPr>
    </w:p>
    <w:p w:rsidR="003C0296" w:rsidRPr="003C0296" w:rsidRDefault="003C0296" w:rsidP="003C0296">
      <w:pPr>
        <w:ind w:firstLine="708"/>
        <w:rPr>
          <w:rFonts w:asciiTheme="minorHAnsi" w:hAnsiTheme="minorHAnsi"/>
        </w:rPr>
      </w:pPr>
    </w:p>
    <w:sectPr w:rsidR="003C0296" w:rsidRPr="003C0296" w:rsidSect="003C0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4E" w:rsidRDefault="00FF4D4E" w:rsidP="003C0296">
      <w:r>
        <w:separator/>
      </w:r>
    </w:p>
  </w:endnote>
  <w:endnote w:type="continuationSeparator" w:id="0">
    <w:p w:rsidR="00FF4D4E" w:rsidRDefault="00FF4D4E" w:rsidP="003C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96" w:rsidRDefault="003C02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96" w:rsidRDefault="003C029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96" w:rsidRDefault="003C02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4E" w:rsidRDefault="00FF4D4E" w:rsidP="003C0296">
      <w:r>
        <w:separator/>
      </w:r>
    </w:p>
  </w:footnote>
  <w:footnote w:type="continuationSeparator" w:id="0">
    <w:p w:rsidR="00FF4D4E" w:rsidRDefault="00FF4D4E" w:rsidP="003C0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96" w:rsidRDefault="003C029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61402" o:spid="_x0000_s2050" type="#_x0000_t136" style="position:absolute;margin-left:0;margin-top:0;width:713.25pt;height:95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96" w:rsidRDefault="003C029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61403" o:spid="_x0000_s2051" type="#_x0000_t136" style="position:absolute;margin-left:0;margin-top:0;width:713.25pt;height:95.1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96" w:rsidRDefault="003C029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61401" o:spid="_x0000_s2049" type="#_x0000_t136" style="position:absolute;margin-left:0;margin-top:0;width:713.25pt;height:95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96"/>
    <w:rsid w:val="00015469"/>
    <w:rsid w:val="000C720D"/>
    <w:rsid w:val="00151963"/>
    <w:rsid w:val="00161A12"/>
    <w:rsid w:val="001854F3"/>
    <w:rsid w:val="00243BA3"/>
    <w:rsid w:val="002C6A19"/>
    <w:rsid w:val="002F1AA7"/>
    <w:rsid w:val="003C0296"/>
    <w:rsid w:val="004E76DD"/>
    <w:rsid w:val="00520F04"/>
    <w:rsid w:val="00632019"/>
    <w:rsid w:val="00645A67"/>
    <w:rsid w:val="006E0462"/>
    <w:rsid w:val="007D0BCA"/>
    <w:rsid w:val="008E41A7"/>
    <w:rsid w:val="00A90E74"/>
    <w:rsid w:val="00B5624D"/>
    <w:rsid w:val="00C0766A"/>
    <w:rsid w:val="00CC3E8A"/>
    <w:rsid w:val="00CC7B58"/>
    <w:rsid w:val="00E25397"/>
    <w:rsid w:val="00E2775D"/>
    <w:rsid w:val="00FE6572"/>
    <w:rsid w:val="00FF00FC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9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0296"/>
    <w:pPr>
      <w:widowControl w:val="0"/>
      <w:ind w:left="139"/>
    </w:pPr>
    <w:rPr>
      <w:rFonts w:eastAsia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02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296"/>
    <w:rPr>
      <w:rFonts w:ascii="Tahoma" w:eastAsia="Batang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3C02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029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3C02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0296"/>
    <w:rPr>
      <w:rFonts w:ascii="Times New Roman" w:eastAsia="Batang" w:hAnsi="Times New Roman" w:cs="Times New Roman"/>
      <w:sz w:val="24"/>
      <w:szCs w:val="24"/>
      <w:lang w:eastAsia="ko-KR"/>
    </w:rPr>
  </w:style>
  <w:style w:type="table" w:customStyle="1" w:styleId="TableNormal">
    <w:name w:val="Table Normal"/>
    <w:uiPriority w:val="2"/>
    <w:semiHidden/>
    <w:unhideWhenUsed/>
    <w:qFormat/>
    <w:rsid w:val="003C02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9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0296"/>
    <w:pPr>
      <w:widowControl w:val="0"/>
      <w:ind w:left="139"/>
    </w:pPr>
    <w:rPr>
      <w:rFonts w:eastAsia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02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296"/>
    <w:rPr>
      <w:rFonts w:ascii="Tahoma" w:eastAsia="Batang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3C02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029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3C02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0296"/>
    <w:rPr>
      <w:rFonts w:ascii="Times New Roman" w:eastAsia="Batang" w:hAnsi="Times New Roman" w:cs="Times New Roman"/>
      <w:sz w:val="24"/>
      <w:szCs w:val="24"/>
      <w:lang w:eastAsia="ko-KR"/>
    </w:rPr>
  </w:style>
  <w:style w:type="table" w:customStyle="1" w:styleId="TableNormal">
    <w:name w:val="Table Normal"/>
    <w:uiPriority w:val="2"/>
    <w:semiHidden/>
    <w:unhideWhenUsed/>
    <w:qFormat/>
    <w:rsid w:val="003C02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2018-06-01T12:53:00Z</dcterms:created>
  <dcterms:modified xsi:type="dcterms:W3CDTF">2018-06-01T13:03:00Z</dcterms:modified>
</cp:coreProperties>
</file>