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F56473" w:rsidP="00E91B05">
            <w:pPr>
              <w:jc w:val="center"/>
              <w:rPr>
                <w:b/>
                <w:sz w:val="24"/>
                <w:szCs w:val="24"/>
              </w:rPr>
            </w:pPr>
            <w:r w:rsidRPr="00F56473">
              <w:rPr>
                <w:b/>
                <w:sz w:val="24"/>
                <w:szCs w:val="24"/>
              </w:rPr>
              <w:t>SAĞLIK ÇALIŞANLARININ BULAŞICI HASTALIKLARDAN KORUNMASI TALİMATI</w:t>
            </w:r>
          </w:p>
        </w:tc>
        <w:tc>
          <w:tcPr>
            <w:tcW w:w="1843" w:type="dxa"/>
          </w:tcPr>
          <w:p w:rsidR="00CF401B" w:rsidRPr="00F56473" w:rsidRDefault="00CF401B" w:rsidP="00E91B0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F56473" w:rsidRDefault="00F56473" w:rsidP="00931240">
            <w:pPr>
              <w:jc w:val="center"/>
              <w:rPr>
                <w:sz w:val="20"/>
                <w:szCs w:val="20"/>
              </w:rPr>
            </w:pPr>
            <w:bookmarkStart w:id="0" w:name="_GoBack"/>
            <w:proofErr w:type="gramStart"/>
            <w:r w:rsidRPr="00F56473">
              <w:rPr>
                <w:sz w:val="20"/>
                <w:szCs w:val="20"/>
              </w:rPr>
              <w:t>EN.TL</w:t>
            </w:r>
            <w:proofErr w:type="gramEnd"/>
            <w:r w:rsidRPr="00F56473">
              <w:rPr>
                <w:sz w:val="20"/>
                <w:szCs w:val="20"/>
              </w:rPr>
              <w:t>.</w:t>
            </w:r>
            <w:r w:rsidR="00931240">
              <w:rPr>
                <w:sz w:val="20"/>
                <w:szCs w:val="20"/>
              </w:rPr>
              <w:t>23</w:t>
            </w:r>
            <w:bookmarkEnd w:id="0"/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56473" w:rsidRDefault="00CF401B" w:rsidP="00E91B0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F56473" w:rsidRDefault="00322D76" w:rsidP="00E91B05">
            <w:pPr>
              <w:jc w:val="center"/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56473" w:rsidRDefault="00CF401B" w:rsidP="00E91B0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F56473" w:rsidRDefault="00322D76" w:rsidP="00E91B05">
            <w:pPr>
              <w:jc w:val="center"/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56473" w:rsidRDefault="00CF401B" w:rsidP="00E91B0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F56473" w:rsidRDefault="006A2928" w:rsidP="00E91B05">
            <w:pPr>
              <w:jc w:val="center"/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56473" w:rsidRDefault="00CF401B" w:rsidP="00E91B05">
            <w:pPr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F56473" w:rsidRDefault="00F56473" w:rsidP="00E91B05">
            <w:pPr>
              <w:jc w:val="center"/>
              <w:rPr>
                <w:sz w:val="20"/>
                <w:szCs w:val="20"/>
              </w:rPr>
            </w:pPr>
            <w:r w:rsidRPr="00F56473">
              <w:rPr>
                <w:sz w:val="20"/>
                <w:szCs w:val="20"/>
              </w:rPr>
              <w:t>1/1</w:t>
            </w:r>
          </w:p>
        </w:tc>
      </w:tr>
    </w:tbl>
    <w:p w:rsidR="00F56473" w:rsidRPr="00F56473" w:rsidRDefault="00F56473" w:rsidP="00F56473">
      <w:pPr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1.  </w:t>
      </w:r>
      <w:r w:rsidRPr="00F56473">
        <w:rPr>
          <w:rFonts w:cs="Times New Roman"/>
          <w:b/>
          <w:bCs/>
          <w:sz w:val="24"/>
          <w:szCs w:val="24"/>
          <w:lang w:val="en-US"/>
        </w:rPr>
        <w:t xml:space="preserve">AMAÇ: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Hastanemiz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personellerinin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bulaşıcı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hastalıklardan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korunması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için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yapılması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gereken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uygulamaların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belirlenmesidir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2.  </w:t>
      </w:r>
      <w:r w:rsidRPr="00F56473">
        <w:rPr>
          <w:rFonts w:cs="Times New Roman"/>
          <w:b/>
          <w:bCs/>
          <w:sz w:val="24"/>
          <w:szCs w:val="24"/>
          <w:lang w:val="en-US"/>
        </w:rPr>
        <w:t>KAPSAM:</w:t>
      </w:r>
      <w:r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Hastanemizde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çalışan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tüm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personelini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kapsar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3.  </w:t>
      </w:r>
      <w:r w:rsidRPr="00F56473">
        <w:rPr>
          <w:rFonts w:cs="Times New Roman"/>
          <w:b/>
          <w:bCs/>
          <w:sz w:val="24"/>
          <w:szCs w:val="24"/>
          <w:lang w:val="en-US"/>
        </w:rPr>
        <w:t>UYGULAMA:</w:t>
      </w:r>
    </w:p>
    <w:p w:rsid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Çalışan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Güvenliği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Hemşiresi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tarafından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işe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yeni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başlayan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her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için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r w:rsidRPr="00F56473">
        <w:rPr>
          <w:rFonts w:cs="Times New Roman"/>
          <w:b/>
          <w:sz w:val="24"/>
          <w:szCs w:val="24"/>
          <w:lang w:val="en-US"/>
        </w:rPr>
        <w:t>“</w:t>
      </w:r>
      <w:proofErr w:type="spellStart"/>
      <w:r w:rsidRPr="00E82337">
        <w:rPr>
          <w:rFonts w:cs="Times New Roman"/>
          <w:b/>
          <w:color w:val="FF0000"/>
          <w:sz w:val="24"/>
          <w:szCs w:val="24"/>
          <w:lang w:val="en-US"/>
        </w:rPr>
        <w:t>Bulaşıcı</w:t>
      </w:r>
      <w:proofErr w:type="spellEnd"/>
      <w:r w:rsidRPr="00E82337">
        <w:rPr>
          <w:rFonts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82337">
        <w:rPr>
          <w:rFonts w:cs="Times New Roman"/>
          <w:b/>
          <w:color w:val="FF0000"/>
          <w:sz w:val="24"/>
          <w:szCs w:val="24"/>
          <w:lang w:val="en-US"/>
        </w:rPr>
        <w:t>Hastalıklar</w:t>
      </w:r>
      <w:proofErr w:type="spellEnd"/>
      <w:r w:rsidRPr="00E82337">
        <w:rPr>
          <w:rFonts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82337">
        <w:rPr>
          <w:rFonts w:cs="Times New Roman"/>
          <w:b/>
          <w:color w:val="FF0000"/>
          <w:sz w:val="24"/>
          <w:szCs w:val="24"/>
          <w:lang w:val="en-US"/>
        </w:rPr>
        <w:t>Takip</w:t>
      </w:r>
      <w:proofErr w:type="spellEnd"/>
      <w:r w:rsidRPr="00E82337">
        <w:rPr>
          <w:rFonts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82337">
        <w:rPr>
          <w:rFonts w:cs="Times New Roman"/>
          <w:b/>
          <w:color w:val="FF0000"/>
          <w:sz w:val="24"/>
          <w:szCs w:val="24"/>
          <w:lang w:val="en-US"/>
        </w:rPr>
        <w:t>Formu</w:t>
      </w:r>
      <w:proofErr w:type="spellEnd"/>
      <w:r w:rsidRPr="00F56473"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doldurulmalı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sonrasında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yapılacak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takipler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bu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formda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kayıt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altına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</w:p>
    <w:p w:rsidR="00F56473" w:rsidRPr="00F56473" w:rsidRDefault="00F56473" w:rsidP="00F56473">
      <w:pPr>
        <w:pStyle w:val="ListeParagraf"/>
        <w:numPr>
          <w:ilvl w:val="1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alınmalıdır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İşe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girişte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her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personeline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PPD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testi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yapılmalı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viral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markerlerine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F56473">
        <w:rPr>
          <w:rFonts w:cs="Times New Roman"/>
          <w:sz w:val="24"/>
          <w:szCs w:val="24"/>
          <w:lang w:val="en-US"/>
        </w:rPr>
        <w:t>HBsAg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anti-HCV)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bakılmalıdır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gramStart"/>
      <w:r w:rsidRPr="00F56473">
        <w:rPr>
          <w:rFonts w:cs="Times New Roman"/>
          <w:sz w:val="24"/>
          <w:szCs w:val="24"/>
          <w:lang w:val="en-US"/>
        </w:rPr>
        <w:t>PPD(</w:t>
      </w:r>
      <w:proofErr w:type="gramEnd"/>
      <w:r w:rsidRPr="00F56473">
        <w:rPr>
          <w:rFonts w:cs="Times New Roman"/>
          <w:sz w:val="24"/>
          <w:szCs w:val="24"/>
          <w:lang w:val="en-US"/>
        </w:rPr>
        <w:t xml:space="preserve">-)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ise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yılda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tekrarlanmalı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PPD(+)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ise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akciğer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grafisi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çekilmelidir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HBsAg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(-)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0, 1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6.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aylarda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B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yapılmalıdır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Üçüncü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B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uygulamasından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sonraki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1-2 ay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içinde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anti-HBs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düzeyine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bakılarak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anti-HBs ≥10 </w:t>
      </w:r>
      <w:proofErr w:type="spellStart"/>
      <w:r w:rsidRPr="00F56473">
        <w:rPr>
          <w:rFonts w:cs="Times New Roman"/>
          <w:sz w:val="24"/>
          <w:szCs w:val="24"/>
          <w:lang w:val="en-US"/>
        </w:rPr>
        <w:t>mlU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/ml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bulunan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bireyler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bağışık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olarak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değerlendirilmelidir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r w:rsidRPr="00F56473">
        <w:rPr>
          <w:rFonts w:cs="Times New Roman"/>
          <w:sz w:val="24"/>
          <w:szCs w:val="24"/>
          <w:lang w:val="en-US"/>
        </w:rPr>
        <w:t xml:space="preserve">İlk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B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aşılama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serisinden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sonra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antikor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yanıtı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gelişmeyen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ikinci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üç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dozluk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uygulaması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yeniden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aşılanmalıdır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İkinci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serisinden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sonra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da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antikor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yanıtı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belirlenmeyenler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yanıtsız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bireyler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olarak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tanımlanır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(Bu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bireylerin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kronik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B </w:t>
      </w:r>
      <w:proofErr w:type="spellStart"/>
      <w:r w:rsidRPr="00F56473">
        <w:rPr>
          <w:rFonts w:cs="Times New Roman"/>
          <w:sz w:val="24"/>
          <w:szCs w:val="24"/>
          <w:lang w:val="en-US"/>
        </w:rPr>
        <w:t>enfeksiyonu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olasılıkları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vardır</w:t>
      </w:r>
      <w:proofErr w:type="spellEnd"/>
      <w:r w:rsidRPr="00F56473">
        <w:rPr>
          <w:rFonts w:cs="Times New Roman"/>
          <w:sz w:val="24"/>
          <w:szCs w:val="24"/>
          <w:lang w:val="en-US"/>
        </w:rPr>
        <w:t>).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Aşıya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yanıt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veren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immunkompetan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bireyler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anti-HBs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düzeyi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çok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düşse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veya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belirlenemez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duruma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gelse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bile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klinik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hepatite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kronik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enfeksiyona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karşı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bağışık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kaldığından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rutin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olarak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destek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önerilmemektedir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Daha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önce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aşılanma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durumu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bilinmeyen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tüm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çalışanlarına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0</w:t>
      </w:r>
      <w:proofErr w:type="gramStart"/>
      <w:r w:rsidRPr="00F56473">
        <w:rPr>
          <w:rFonts w:cs="Times New Roman"/>
          <w:sz w:val="24"/>
          <w:szCs w:val="24"/>
          <w:lang w:val="en-US"/>
        </w:rPr>
        <w:t>,1</w:t>
      </w:r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aylarda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3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Tetanoz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Difteri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yapılır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Tüm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çalışanlarına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bir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ay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ara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2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F56473">
        <w:rPr>
          <w:rFonts w:cs="Times New Roman"/>
          <w:sz w:val="24"/>
          <w:szCs w:val="24"/>
          <w:lang w:val="en-US"/>
        </w:rPr>
        <w:t>KKK(</w:t>
      </w:r>
      <w:proofErr w:type="spellStart"/>
      <w:proofErr w:type="gramEnd"/>
      <w:r w:rsidRPr="00F56473">
        <w:rPr>
          <w:rFonts w:cs="Times New Roman"/>
          <w:sz w:val="24"/>
          <w:szCs w:val="24"/>
          <w:lang w:val="en-US"/>
        </w:rPr>
        <w:t>Kızamık,Kızamıkçık,Kabakulak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yapılır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kaydı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olanlara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bağışık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oldukları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gösterilenlere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yapılmasına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gerek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yoktur</w:t>
      </w:r>
      <w:proofErr w:type="spellEnd"/>
      <w:r w:rsidRPr="00F56473">
        <w:rPr>
          <w:rFonts w:cs="Times New Roman"/>
          <w:sz w:val="24"/>
          <w:szCs w:val="24"/>
          <w:lang w:val="en-US"/>
        </w:rPr>
        <w:t>).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Suçiçeği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sadece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immunyetmezlikli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kişilerin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yattığı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servislerde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yenidoğan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servisinde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çalışan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personellere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yapılır.Suçiçeği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geçirdiğine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dair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öyküsü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olanlara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aşı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uygulamasına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gerek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yoktur.Öyküsü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bulunmayan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kişilerin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aşılama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öncesinde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antikor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düzeylerinin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değerlendirilmesi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gereklidir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F56473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Hepatit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A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aşısı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sadece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fekal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materyale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maruz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kalan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ve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çocuk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56473">
        <w:rPr>
          <w:rFonts w:cs="Times New Roman"/>
          <w:sz w:val="24"/>
          <w:szCs w:val="24"/>
          <w:lang w:val="en-US"/>
        </w:rPr>
        <w:t>enfeksiyon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hastalıkları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servislerinde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çalışan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sağlık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için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gereklidir.6 ay </w:t>
      </w:r>
      <w:proofErr w:type="spellStart"/>
      <w:proofErr w:type="gramStart"/>
      <w:r w:rsidRPr="00F56473">
        <w:rPr>
          <w:rFonts w:cs="Times New Roman"/>
          <w:sz w:val="24"/>
          <w:szCs w:val="24"/>
          <w:lang w:val="en-US"/>
        </w:rPr>
        <w:t>ara</w:t>
      </w:r>
      <w:proofErr w:type="spellEnd"/>
      <w:proofErr w:type="gram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ile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2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doz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uygulanmalıdır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Aşılama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öncesinde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antikor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düzeylerinin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değerlendirilmesi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gereklidir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F56473" w:rsidRPr="00F56473" w:rsidRDefault="00F56473" w:rsidP="00E82337">
      <w:pPr>
        <w:pStyle w:val="ListeParagraf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proofErr w:type="spellStart"/>
      <w:r w:rsidRPr="00F56473">
        <w:rPr>
          <w:rFonts w:cs="Times New Roman"/>
          <w:sz w:val="24"/>
          <w:szCs w:val="24"/>
          <w:lang w:val="en-US"/>
        </w:rPr>
        <w:t>Kesici-delici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aletlerle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yaralanan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personel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“</w:t>
      </w:r>
      <w:r w:rsidR="00E82337" w:rsidRPr="00E82337">
        <w:rPr>
          <w:rFonts w:cs="Times New Roman"/>
          <w:b/>
          <w:sz w:val="24"/>
          <w:szCs w:val="24"/>
          <w:lang w:val="en-US"/>
        </w:rPr>
        <w:t xml:space="preserve">EN.TL.14 </w:t>
      </w:r>
      <w:proofErr w:type="spellStart"/>
      <w:r w:rsidR="00E82337" w:rsidRPr="00E82337">
        <w:rPr>
          <w:rFonts w:cs="Times New Roman"/>
          <w:b/>
          <w:sz w:val="24"/>
          <w:szCs w:val="24"/>
          <w:lang w:val="en-US"/>
        </w:rPr>
        <w:t>Personel</w:t>
      </w:r>
      <w:proofErr w:type="spellEnd"/>
      <w:r w:rsidR="00E82337" w:rsidRPr="00E8233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82337" w:rsidRPr="00E82337">
        <w:rPr>
          <w:rFonts w:cs="Times New Roman"/>
          <w:b/>
          <w:sz w:val="24"/>
          <w:szCs w:val="24"/>
          <w:lang w:val="en-US"/>
        </w:rPr>
        <w:t>Yaralanmaları</w:t>
      </w:r>
      <w:proofErr w:type="spellEnd"/>
      <w:r w:rsidR="00E82337" w:rsidRPr="00E82337">
        <w:rPr>
          <w:rFonts w:cs="Times New Roman"/>
          <w:b/>
          <w:sz w:val="24"/>
          <w:szCs w:val="24"/>
          <w:lang w:val="en-US"/>
        </w:rPr>
        <w:t xml:space="preserve">  </w:t>
      </w:r>
      <w:proofErr w:type="spellStart"/>
      <w:r w:rsidR="00E82337" w:rsidRPr="00E82337">
        <w:rPr>
          <w:rFonts w:cs="Times New Roman"/>
          <w:b/>
          <w:sz w:val="24"/>
          <w:szCs w:val="24"/>
          <w:lang w:val="en-US"/>
        </w:rPr>
        <w:t>İzlem</w:t>
      </w:r>
      <w:proofErr w:type="spellEnd"/>
      <w:proofErr w:type="gramEnd"/>
      <w:r w:rsidR="00E82337" w:rsidRPr="00E82337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E82337" w:rsidRPr="00E82337">
        <w:rPr>
          <w:rFonts w:cs="Times New Roman"/>
          <w:b/>
          <w:sz w:val="24"/>
          <w:szCs w:val="24"/>
          <w:lang w:val="en-US"/>
        </w:rPr>
        <w:t>Talimatı</w:t>
      </w:r>
      <w:r w:rsidRPr="00F56473">
        <w:rPr>
          <w:rFonts w:cs="Times New Roman"/>
          <w:sz w:val="24"/>
          <w:szCs w:val="24"/>
          <w:lang w:val="en-US"/>
        </w:rPr>
        <w:t>”na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göre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takip</w:t>
      </w:r>
      <w:proofErr w:type="spellEnd"/>
      <w:r w:rsidRPr="00F5647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56473">
        <w:rPr>
          <w:rFonts w:cs="Times New Roman"/>
          <w:sz w:val="24"/>
          <w:szCs w:val="24"/>
          <w:lang w:val="en-US"/>
        </w:rPr>
        <w:t>edilmelidir</w:t>
      </w:r>
      <w:proofErr w:type="spellEnd"/>
      <w:r w:rsidRPr="00F56473">
        <w:rPr>
          <w:rFonts w:cs="Times New Roman"/>
          <w:sz w:val="24"/>
          <w:szCs w:val="24"/>
          <w:lang w:val="en-US"/>
        </w:rPr>
        <w:t>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56473" w:rsidTr="00F56473">
        <w:tc>
          <w:tcPr>
            <w:tcW w:w="3448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F56473" w:rsidTr="00F56473">
        <w:tc>
          <w:tcPr>
            <w:tcW w:w="3448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F56473" w:rsidRDefault="00F56473" w:rsidP="00F5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D"/>
    <w:multiLevelType w:val="hybridMultilevel"/>
    <w:tmpl w:val="97123A5A"/>
    <w:lvl w:ilvl="0" w:tplc="8D603EA4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055D1"/>
    <w:multiLevelType w:val="hybridMultilevel"/>
    <w:tmpl w:val="7CAE92B0"/>
    <w:lvl w:ilvl="0" w:tplc="D428B6EA">
      <w:start w:val="1"/>
      <w:numFmt w:val="decimal"/>
      <w:lvlText w:val="%1."/>
      <w:lvlJc w:val="left"/>
      <w:pPr>
        <w:ind w:left="477" w:hanging="245"/>
      </w:pPr>
      <w:rPr>
        <w:rFonts w:asciiTheme="minorHAnsi" w:eastAsiaTheme="minorHAnsi" w:hAnsiTheme="minorHAnsi" w:cstheme="minorBidi"/>
        <w:b/>
        <w:bCs/>
        <w:w w:val="100"/>
        <w:sz w:val="24"/>
        <w:szCs w:val="24"/>
      </w:rPr>
    </w:lvl>
    <w:lvl w:ilvl="1" w:tplc="8D603EA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0CC89B8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C23CF7FC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68AC098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12189836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FB989E40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88500F2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586A5650"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">
    <w:nsid w:val="1FE72938"/>
    <w:multiLevelType w:val="hybridMultilevel"/>
    <w:tmpl w:val="2DBCE49C"/>
    <w:lvl w:ilvl="0" w:tplc="8D603E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4289"/>
    <w:multiLevelType w:val="hybridMultilevel"/>
    <w:tmpl w:val="7E90D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6A19"/>
    <w:rsid w:val="00322D76"/>
    <w:rsid w:val="003E5100"/>
    <w:rsid w:val="004E76DD"/>
    <w:rsid w:val="00520F04"/>
    <w:rsid w:val="00645A67"/>
    <w:rsid w:val="00645B99"/>
    <w:rsid w:val="006A2928"/>
    <w:rsid w:val="006E0462"/>
    <w:rsid w:val="006E7363"/>
    <w:rsid w:val="00701635"/>
    <w:rsid w:val="00931240"/>
    <w:rsid w:val="00960BB3"/>
    <w:rsid w:val="009753B0"/>
    <w:rsid w:val="00A90E74"/>
    <w:rsid w:val="00AD2D65"/>
    <w:rsid w:val="00C0766A"/>
    <w:rsid w:val="00CB2A65"/>
    <w:rsid w:val="00CF401B"/>
    <w:rsid w:val="00E278A0"/>
    <w:rsid w:val="00E5033B"/>
    <w:rsid w:val="00E80A6E"/>
    <w:rsid w:val="00E82337"/>
    <w:rsid w:val="00F56473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2018-04-13T10:17:00Z</dcterms:created>
  <dcterms:modified xsi:type="dcterms:W3CDTF">2018-04-13T10:42:00Z</dcterms:modified>
</cp:coreProperties>
</file>