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4656"/>
        <w:gridCol w:w="1701"/>
        <w:gridCol w:w="1275"/>
      </w:tblGrid>
      <w:tr w:rsidR="00004ECB" w:rsidTr="00831C6C">
        <w:tc>
          <w:tcPr>
            <w:tcW w:w="2256" w:type="dxa"/>
            <w:vMerge w:val="restart"/>
            <w:shd w:val="clear" w:color="auto" w:fill="auto"/>
          </w:tcPr>
          <w:p w:rsidR="00004ECB" w:rsidRPr="00E92A17" w:rsidRDefault="00004ECB" w:rsidP="00004ECB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tr-TR"/>
              </w:rPr>
              <w:drawing>
                <wp:inline distT="0" distB="0" distL="0" distR="0" wp14:anchorId="08C79E73" wp14:editId="6D1666DC">
                  <wp:extent cx="1285875" cy="78105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vMerge w:val="restart"/>
            <w:shd w:val="clear" w:color="auto" w:fill="auto"/>
          </w:tcPr>
          <w:p w:rsidR="00004ECB" w:rsidRPr="00E92A17" w:rsidRDefault="00004ECB" w:rsidP="00004EC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04ECB" w:rsidRPr="00E92A17" w:rsidRDefault="00004ECB" w:rsidP="00004EC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TRANSFÜZYON MERKEZİ BİYOGÜVENLİK TALİMATI</w:t>
            </w:r>
          </w:p>
        </w:tc>
        <w:tc>
          <w:tcPr>
            <w:tcW w:w="1701" w:type="dxa"/>
            <w:shd w:val="clear" w:color="auto" w:fill="auto"/>
          </w:tcPr>
          <w:p w:rsidR="00004ECB" w:rsidRPr="00004ECB" w:rsidRDefault="00004ECB" w:rsidP="00004ECB">
            <w:pPr>
              <w:rPr>
                <w:rFonts w:ascii="Calibri" w:eastAsia="Calibri" w:hAnsi="Calibri"/>
                <w:sz w:val="20"/>
                <w:szCs w:val="20"/>
              </w:rPr>
            </w:pPr>
            <w:r w:rsidRPr="00004ECB">
              <w:rPr>
                <w:rFonts w:ascii="Calibri" w:eastAsia="Calibri" w:hAnsi="Calibri"/>
                <w:sz w:val="20"/>
                <w:szCs w:val="20"/>
              </w:rPr>
              <w:t>DÖKÜMAN KODU</w:t>
            </w:r>
          </w:p>
        </w:tc>
        <w:tc>
          <w:tcPr>
            <w:tcW w:w="1275" w:type="dxa"/>
            <w:shd w:val="clear" w:color="auto" w:fill="auto"/>
          </w:tcPr>
          <w:p w:rsidR="00004ECB" w:rsidRPr="00004ECB" w:rsidRDefault="00004ECB" w:rsidP="00004E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04ECB">
              <w:rPr>
                <w:rFonts w:asciiTheme="minorHAnsi" w:hAnsiTheme="minorHAnsi"/>
                <w:sz w:val="20"/>
                <w:szCs w:val="20"/>
              </w:rPr>
              <w:t>TH.TL</w:t>
            </w:r>
            <w:proofErr w:type="gramEnd"/>
            <w:r w:rsidRPr="00004ECB">
              <w:rPr>
                <w:rFonts w:asciiTheme="minorHAnsi" w:hAnsiTheme="minorHAnsi"/>
                <w:sz w:val="20"/>
                <w:szCs w:val="20"/>
              </w:rPr>
              <w:t>.08</w:t>
            </w:r>
          </w:p>
        </w:tc>
      </w:tr>
      <w:tr w:rsidR="00004ECB" w:rsidTr="00831C6C">
        <w:tc>
          <w:tcPr>
            <w:tcW w:w="2256" w:type="dxa"/>
            <w:vMerge/>
            <w:shd w:val="clear" w:color="auto" w:fill="auto"/>
          </w:tcPr>
          <w:p w:rsidR="00004ECB" w:rsidRPr="00E92A17" w:rsidRDefault="00004ECB" w:rsidP="00004EC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56" w:type="dxa"/>
            <w:vMerge/>
            <w:shd w:val="clear" w:color="auto" w:fill="auto"/>
          </w:tcPr>
          <w:p w:rsidR="00004ECB" w:rsidRPr="00E92A17" w:rsidRDefault="00004ECB" w:rsidP="00004EC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04ECB" w:rsidRPr="00004ECB" w:rsidRDefault="00004ECB" w:rsidP="00004ECB">
            <w:pPr>
              <w:rPr>
                <w:rFonts w:ascii="Calibri" w:eastAsia="Calibri" w:hAnsi="Calibri"/>
                <w:sz w:val="20"/>
                <w:szCs w:val="20"/>
              </w:rPr>
            </w:pPr>
            <w:r w:rsidRPr="00004ECB">
              <w:rPr>
                <w:rFonts w:ascii="Calibri" w:eastAsia="Calibri" w:hAnsi="Calibri"/>
                <w:sz w:val="20"/>
                <w:szCs w:val="20"/>
              </w:rPr>
              <w:t>YAYIN TARİHİ</w:t>
            </w:r>
          </w:p>
        </w:tc>
        <w:tc>
          <w:tcPr>
            <w:tcW w:w="1275" w:type="dxa"/>
            <w:shd w:val="clear" w:color="auto" w:fill="auto"/>
          </w:tcPr>
          <w:p w:rsidR="00004ECB" w:rsidRPr="00004ECB" w:rsidRDefault="00004ECB" w:rsidP="00004E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4ECB">
              <w:rPr>
                <w:rFonts w:asciiTheme="minorHAnsi" w:hAnsiTheme="minorHAnsi"/>
                <w:sz w:val="20"/>
                <w:szCs w:val="20"/>
              </w:rPr>
              <w:t>11.01.2017</w:t>
            </w:r>
          </w:p>
        </w:tc>
      </w:tr>
      <w:tr w:rsidR="00004ECB" w:rsidTr="00831C6C">
        <w:tc>
          <w:tcPr>
            <w:tcW w:w="2256" w:type="dxa"/>
            <w:vMerge/>
            <w:shd w:val="clear" w:color="auto" w:fill="auto"/>
          </w:tcPr>
          <w:p w:rsidR="00004ECB" w:rsidRPr="00E92A17" w:rsidRDefault="00004ECB" w:rsidP="00004EC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56" w:type="dxa"/>
            <w:vMerge/>
            <w:shd w:val="clear" w:color="auto" w:fill="auto"/>
          </w:tcPr>
          <w:p w:rsidR="00004ECB" w:rsidRPr="00E92A17" w:rsidRDefault="00004ECB" w:rsidP="00004EC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04ECB" w:rsidRPr="00004ECB" w:rsidRDefault="00004ECB" w:rsidP="00004ECB">
            <w:pPr>
              <w:rPr>
                <w:rFonts w:ascii="Calibri" w:eastAsia="Calibri" w:hAnsi="Calibri"/>
                <w:sz w:val="20"/>
                <w:szCs w:val="20"/>
              </w:rPr>
            </w:pPr>
            <w:r w:rsidRPr="00004ECB">
              <w:rPr>
                <w:rFonts w:ascii="Calibri" w:eastAsia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275" w:type="dxa"/>
            <w:shd w:val="clear" w:color="auto" w:fill="auto"/>
          </w:tcPr>
          <w:p w:rsidR="00004ECB" w:rsidRPr="00004ECB" w:rsidRDefault="00004ECB" w:rsidP="00004EC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004ECB">
              <w:rPr>
                <w:rFonts w:ascii="Calibri" w:eastAsia="Calibri" w:hAnsi="Calibri"/>
                <w:sz w:val="20"/>
                <w:szCs w:val="20"/>
              </w:rPr>
              <w:t>00</w:t>
            </w:r>
          </w:p>
        </w:tc>
      </w:tr>
      <w:tr w:rsidR="00004ECB" w:rsidTr="00831C6C">
        <w:tc>
          <w:tcPr>
            <w:tcW w:w="2256" w:type="dxa"/>
            <w:vMerge/>
            <w:shd w:val="clear" w:color="auto" w:fill="auto"/>
          </w:tcPr>
          <w:p w:rsidR="00004ECB" w:rsidRPr="00E92A17" w:rsidRDefault="00004ECB" w:rsidP="00004EC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56" w:type="dxa"/>
            <w:vMerge/>
            <w:shd w:val="clear" w:color="auto" w:fill="auto"/>
          </w:tcPr>
          <w:p w:rsidR="00004ECB" w:rsidRPr="00E92A17" w:rsidRDefault="00004ECB" w:rsidP="00004EC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04ECB" w:rsidRPr="00004ECB" w:rsidRDefault="00004ECB" w:rsidP="00004ECB">
            <w:pPr>
              <w:rPr>
                <w:rFonts w:ascii="Calibri" w:eastAsia="Calibri" w:hAnsi="Calibri"/>
                <w:sz w:val="20"/>
                <w:szCs w:val="20"/>
              </w:rPr>
            </w:pPr>
            <w:r w:rsidRPr="00004ECB">
              <w:rPr>
                <w:rFonts w:ascii="Calibri" w:eastAsia="Calibri" w:hAnsi="Calibri"/>
                <w:sz w:val="20"/>
                <w:szCs w:val="20"/>
              </w:rPr>
              <w:t>REVİZYON NO</w:t>
            </w:r>
          </w:p>
        </w:tc>
        <w:tc>
          <w:tcPr>
            <w:tcW w:w="1275" w:type="dxa"/>
            <w:shd w:val="clear" w:color="auto" w:fill="auto"/>
          </w:tcPr>
          <w:p w:rsidR="00004ECB" w:rsidRPr="00004ECB" w:rsidRDefault="00004ECB" w:rsidP="00004EC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004ECB">
              <w:rPr>
                <w:rFonts w:ascii="Calibri" w:eastAsia="Calibri" w:hAnsi="Calibri"/>
                <w:sz w:val="20"/>
                <w:szCs w:val="20"/>
              </w:rPr>
              <w:t>00</w:t>
            </w:r>
          </w:p>
        </w:tc>
      </w:tr>
      <w:tr w:rsidR="00004ECB" w:rsidTr="00831C6C">
        <w:tc>
          <w:tcPr>
            <w:tcW w:w="2256" w:type="dxa"/>
            <w:vMerge/>
            <w:shd w:val="clear" w:color="auto" w:fill="auto"/>
          </w:tcPr>
          <w:p w:rsidR="00004ECB" w:rsidRPr="00E92A17" w:rsidRDefault="00004ECB" w:rsidP="00004EC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56" w:type="dxa"/>
            <w:vMerge/>
            <w:shd w:val="clear" w:color="auto" w:fill="auto"/>
          </w:tcPr>
          <w:p w:rsidR="00004ECB" w:rsidRPr="00E92A17" w:rsidRDefault="00004ECB" w:rsidP="00004EC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04ECB" w:rsidRPr="00004ECB" w:rsidRDefault="00004ECB" w:rsidP="00004ECB">
            <w:pPr>
              <w:rPr>
                <w:rFonts w:ascii="Calibri" w:eastAsia="Calibri" w:hAnsi="Calibri"/>
                <w:sz w:val="20"/>
                <w:szCs w:val="20"/>
              </w:rPr>
            </w:pPr>
            <w:r w:rsidRPr="00004ECB">
              <w:rPr>
                <w:rFonts w:ascii="Calibri" w:eastAsia="Calibri" w:hAnsi="Calibri"/>
                <w:sz w:val="20"/>
                <w:szCs w:val="20"/>
              </w:rPr>
              <w:t>SAYFA</w:t>
            </w:r>
          </w:p>
        </w:tc>
        <w:tc>
          <w:tcPr>
            <w:tcW w:w="1275" w:type="dxa"/>
            <w:shd w:val="clear" w:color="auto" w:fill="auto"/>
          </w:tcPr>
          <w:p w:rsidR="00004ECB" w:rsidRPr="00004ECB" w:rsidRDefault="00831C6C" w:rsidP="00004EC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1/1</w:t>
            </w:r>
          </w:p>
        </w:tc>
      </w:tr>
    </w:tbl>
    <w:p w:rsidR="00004ECB" w:rsidRDefault="00004ECB"/>
    <w:p w:rsidR="00004ECB" w:rsidRDefault="00004ECB" w:rsidP="00004ECB"/>
    <w:p w:rsidR="00004ECB" w:rsidRDefault="00004ECB" w:rsidP="00004ECB">
      <w:pPr>
        <w:ind w:firstLine="708"/>
      </w:pPr>
    </w:p>
    <w:p w:rsidR="00004ECB" w:rsidRPr="00004ECB" w:rsidRDefault="00004ECB" w:rsidP="00004ECB"/>
    <w:p w:rsidR="00004ECB" w:rsidRPr="00004ECB" w:rsidRDefault="00004ECB" w:rsidP="00004ECB"/>
    <w:p w:rsidR="00004ECB" w:rsidRPr="005B113E" w:rsidRDefault="00004ECB" w:rsidP="005B113E">
      <w:pPr>
        <w:pStyle w:val="ListeParagraf"/>
        <w:numPr>
          <w:ilvl w:val="0"/>
          <w:numId w:val="4"/>
        </w:numPr>
        <w:ind w:right="694"/>
        <w:jc w:val="both"/>
        <w:rPr>
          <w:rFonts w:asciiTheme="minorHAnsi" w:hAnsiTheme="minorHAnsi"/>
          <w:b/>
        </w:rPr>
      </w:pPr>
      <w:r w:rsidRPr="005B113E">
        <w:rPr>
          <w:rFonts w:asciiTheme="minorHAnsi" w:hAnsiTheme="minorHAnsi"/>
          <w:b/>
        </w:rPr>
        <w:t>AMAÇ</w:t>
      </w:r>
    </w:p>
    <w:p w:rsidR="00004ECB" w:rsidRDefault="00004ECB" w:rsidP="005B113E">
      <w:pPr>
        <w:ind w:left="426" w:right="694"/>
        <w:jc w:val="both"/>
        <w:rPr>
          <w:rFonts w:asciiTheme="minorHAnsi" w:hAnsiTheme="minorHAnsi"/>
        </w:rPr>
      </w:pPr>
      <w:r w:rsidRPr="00626CFD">
        <w:rPr>
          <w:rFonts w:asciiTheme="minorHAnsi" w:hAnsiTheme="minorHAnsi"/>
        </w:rPr>
        <w:t xml:space="preserve">Transfüzyon merkezi personelinin ve kan bağışçılarının kan yoluyla bulaşan </w:t>
      </w:r>
      <w:proofErr w:type="gramStart"/>
      <w:r w:rsidRPr="00626CFD">
        <w:rPr>
          <w:rFonts w:asciiTheme="minorHAnsi" w:hAnsiTheme="minorHAnsi"/>
        </w:rPr>
        <w:t>enfeksiyonlardan</w:t>
      </w:r>
      <w:proofErr w:type="gramEnd"/>
      <w:r w:rsidRPr="00626CFD">
        <w:rPr>
          <w:rFonts w:asciiTheme="minorHAnsi" w:hAnsiTheme="minorHAnsi"/>
        </w:rPr>
        <w:t xml:space="preserve"> korunması için standartları belirlemek.</w:t>
      </w:r>
    </w:p>
    <w:p w:rsidR="005B113E" w:rsidRDefault="005B113E" w:rsidP="005B113E">
      <w:pPr>
        <w:ind w:left="426" w:right="694"/>
        <w:jc w:val="both"/>
        <w:rPr>
          <w:rFonts w:asciiTheme="minorHAnsi" w:hAnsiTheme="minorHAnsi"/>
        </w:rPr>
      </w:pPr>
    </w:p>
    <w:p w:rsidR="00004ECB" w:rsidRPr="005B113E" w:rsidRDefault="00004ECB" w:rsidP="005B113E">
      <w:pPr>
        <w:pStyle w:val="ListeParagraf"/>
        <w:numPr>
          <w:ilvl w:val="0"/>
          <w:numId w:val="4"/>
        </w:numPr>
        <w:ind w:right="694"/>
        <w:jc w:val="both"/>
        <w:rPr>
          <w:rFonts w:asciiTheme="minorHAnsi" w:hAnsiTheme="minorHAnsi"/>
        </w:rPr>
      </w:pPr>
      <w:r w:rsidRPr="005B113E">
        <w:rPr>
          <w:rFonts w:asciiTheme="minorHAnsi" w:hAnsiTheme="minorHAnsi"/>
          <w:b/>
        </w:rPr>
        <w:t xml:space="preserve">KAPSAM </w:t>
      </w:r>
    </w:p>
    <w:p w:rsidR="00004ECB" w:rsidRDefault="00004ECB" w:rsidP="005B113E">
      <w:pPr>
        <w:ind w:left="426" w:right="694"/>
        <w:jc w:val="both"/>
        <w:rPr>
          <w:rFonts w:asciiTheme="minorHAnsi" w:hAnsiTheme="minorHAnsi"/>
        </w:rPr>
      </w:pPr>
      <w:r w:rsidRPr="00626CFD">
        <w:rPr>
          <w:rFonts w:asciiTheme="minorHAnsi" w:hAnsiTheme="minorHAnsi"/>
        </w:rPr>
        <w:t xml:space="preserve">Transfüzyon </w:t>
      </w:r>
      <w:proofErr w:type="gramStart"/>
      <w:r w:rsidRPr="00626CFD">
        <w:rPr>
          <w:rFonts w:asciiTheme="minorHAnsi" w:hAnsiTheme="minorHAnsi"/>
        </w:rPr>
        <w:t>ünitesi  Personeli</w:t>
      </w:r>
      <w:proofErr w:type="gramEnd"/>
    </w:p>
    <w:p w:rsidR="005B113E" w:rsidRPr="00626CFD" w:rsidRDefault="005B113E" w:rsidP="005B113E">
      <w:pPr>
        <w:ind w:left="426" w:right="694"/>
        <w:jc w:val="both"/>
        <w:rPr>
          <w:rFonts w:asciiTheme="minorHAnsi" w:hAnsiTheme="minorHAnsi"/>
        </w:rPr>
      </w:pPr>
    </w:p>
    <w:p w:rsidR="00004ECB" w:rsidRPr="005B113E" w:rsidRDefault="00004ECB" w:rsidP="005B113E">
      <w:pPr>
        <w:pStyle w:val="ListeParagraf"/>
        <w:numPr>
          <w:ilvl w:val="0"/>
          <w:numId w:val="4"/>
        </w:numPr>
        <w:suppressAutoHyphens w:val="0"/>
        <w:spacing w:line="276" w:lineRule="auto"/>
        <w:ind w:right="340"/>
        <w:jc w:val="both"/>
        <w:rPr>
          <w:rFonts w:asciiTheme="minorHAnsi" w:hAnsiTheme="minorHAnsi"/>
          <w:b/>
        </w:rPr>
      </w:pPr>
      <w:r w:rsidRPr="005B113E">
        <w:rPr>
          <w:rFonts w:asciiTheme="minorHAnsi" w:hAnsiTheme="minorHAnsi"/>
          <w:b/>
        </w:rPr>
        <w:t>TANIM</w:t>
      </w:r>
    </w:p>
    <w:p w:rsidR="005B113E" w:rsidRPr="00626CFD" w:rsidRDefault="005B113E" w:rsidP="005B113E">
      <w:pPr>
        <w:suppressAutoHyphens w:val="0"/>
        <w:spacing w:line="276" w:lineRule="auto"/>
        <w:ind w:left="397" w:right="340"/>
        <w:jc w:val="both"/>
        <w:rPr>
          <w:rFonts w:asciiTheme="minorHAnsi" w:hAnsiTheme="minorHAnsi"/>
          <w:b/>
        </w:rPr>
      </w:pPr>
    </w:p>
    <w:p w:rsidR="00004ECB" w:rsidRPr="005B113E" w:rsidRDefault="00004ECB" w:rsidP="005B113E">
      <w:pPr>
        <w:pStyle w:val="ListeParagraf"/>
        <w:numPr>
          <w:ilvl w:val="0"/>
          <w:numId w:val="4"/>
        </w:numPr>
        <w:ind w:right="694"/>
        <w:jc w:val="both"/>
        <w:rPr>
          <w:rFonts w:asciiTheme="minorHAnsi" w:hAnsiTheme="minorHAnsi"/>
          <w:b/>
        </w:rPr>
      </w:pPr>
      <w:r w:rsidRPr="005B113E">
        <w:rPr>
          <w:rFonts w:asciiTheme="minorHAnsi" w:hAnsiTheme="minorHAnsi"/>
          <w:b/>
        </w:rPr>
        <w:t>UYGULAMA</w:t>
      </w:r>
    </w:p>
    <w:p w:rsidR="00004ECB" w:rsidRPr="005B113E" w:rsidRDefault="00831C6C" w:rsidP="00831C6C">
      <w:pPr>
        <w:pStyle w:val="ListeParagraf"/>
        <w:ind w:left="426" w:right="694"/>
        <w:rPr>
          <w:rFonts w:asciiTheme="minorHAnsi" w:hAnsiTheme="minorHAnsi"/>
        </w:rPr>
      </w:pPr>
      <w:r>
        <w:rPr>
          <w:rFonts w:asciiTheme="minorHAnsi" w:hAnsiTheme="minorHAnsi"/>
          <w:b/>
        </w:rPr>
        <w:t>●</w:t>
      </w:r>
      <w:r w:rsidR="005B113E" w:rsidRPr="005B113E">
        <w:rPr>
          <w:rFonts w:asciiTheme="minorHAnsi" w:hAnsiTheme="minorHAnsi"/>
          <w:b/>
        </w:rPr>
        <w:t xml:space="preserve"> </w:t>
      </w:r>
      <w:proofErr w:type="gramStart"/>
      <w:r w:rsidR="00004ECB" w:rsidRPr="005B113E">
        <w:rPr>
          <w:rFonts w:asciiTheme="minorHAnsi" w:hAnsiTheme="minorHAnsi"/>
        </w:rPr>
        <w:t>Transfüzyon  merkezi</w:t>
      </w:r>
      <w:proofErr w:type="gramEnd"/>
      <w:r w:rsidR="00004ECB" w:rsidRPr="005B113E">
        <w:rPr>
          <w:rFonts w:asciiTheme="minorHAnsi" w:hAnsiTheme="minorHAnsi"/>
        </w:rPr>
        <w:t xml:space="preserve">  görevlileri çalışmaya başlamadan önce koruyucu önlük, tek kullanımlık </w:t>
      </w:r>
    </w:p>
    <w:p w:rsidR="00004ECB" w:rsidRPr="00626CFD" w:rsidRDefault="00004ECB" w:rsidP="00831C6C">
      <w:pPr>
        <w:ind w:left="426" w:right="694"/>
        <w:rPr>
          <w:rFonts w:asciiTheme="minorHAnsi" w:hAnsiTheme="minorHAnsi"/>
        </w:rPr>
      </w:pPr>
      <w:proofErr w:type="gramStart"/>
      <w:r w:rsidRPr="00626CFD">
        <w:rPr>
          <w:rFonts w:asciiTheme="minorHAnsi" w:hAnsiTheme="minorHAnsi"/>
        </w:rPr>
        <w:t>steril</w:t>
      </w:r>
      <w:proofErr w:type="gramEnd"/>
      <w:r w:rsidRPr="00626CFD">
        <w:rPr>
          <w:rFonts w:asciiTheme="minorHAnsi" w:hAnsiTheme="minorHAnsi"/>
        </w:rPr>
        <w:t xml:space="preserve"> olmayan lastik eldiven, kan sıçrama olasılığı olan </w:t>
      </w:r>
      <w:r w:rsidR="00831C6C">
        <w:rPr>
          <w:rFonts w:asciiTheme="minorHAnsi" w:hAnsiTheme="minorHAnsi"/>
        </w:rPr>
        <w:t xml:space="preserve">durumlarda ise gözlük ve maske </w:t>
      </w:r>
      <w:r w:rsidRPr="00626CFD">
        <w:rPr>
          <w:rFonts w:asciiTheme="minorHAnsi" w:hAnsiTheme="minorHAnsi"/>
        </w:rPr>
        <w:t xml:space="preserve">takmalıdır. </w:t>
      </w:r>
      <w:r w:rsidR="00831C6C">
        <w:rPr>
          <w:rFonts w:asciiTheme="minorHAnsi" w:hAnsiTheme="minorHAnsi"/>
          <w:b/>
        </w:rPr>
        <w:t>●</w:t>
      </w:r>
      <w:r w:rsidRPr="00626CFD">
        <w:rPr>
          <w:rFonts w:asciiTheme="minorHAnsi" w:hAnsiTheme="minorHAnsi"/>
        </w:rPr>
        <w:t>Koruyucu önlük laboratuvarı terk ederken çıkarılmalıdır.</w:t>
      </w:r>
    </w:p>
    <w:p w:rsidR="00004ECB" w:rsidRPr="00831C6C" w:rsidRDefault="00831C6C" w:rsidP="00831C6C">
      <w:pPr>
        <w:suppressAutoHyphens w:val="0"/>
        <w:spacing w:line="276" w:lineRule="auto"/>
        <w:ind w:left="426" w:right="694"/>
        <w:rPr>
          <w:rFonts w:asciiTheme="minorHAnsi" w:hAnsiTheme="minorHAnsi"/>
        </w:rPr>
      </w:pPr>
      <w:r>
        <w:rPr>
          <w:rFonts w:asciiTheme="minorHAnsi" w:hAnsiTheme="minorHAnsi"/>
          <w:b/>
        </w:rPr>
        <w:t>●</w:t>
      </w:r>
      <w:r w:rsidR="00004ECB" w:rsidRPr="00626CFD">
        <w:rPr>
          <w:rFonts w:asciiTheme="minorHAnsi" w:hAnsiTheme="minorHAnsi"/>
        </w:rPr>
        <w:t xml:space="preserve">Her işlem öncesi ve sonrasında, el </w:t>
      </w:r>
      <w:proofErr w:type="gramStart"/>
      <w:r w:rsidR="00004ECB" w:rsidRPr="00626CFD">
        <w:rPr>
          <w:rFonts w:asciiTheme="minorHAnsi" w:hAnsiTheme="minorHAnsi"/>
        </w:rPr>
        <w:t>hijyeni</w:t>
      </w:r>
      <w:proofErr w:type="gramEnd"/>
      <w:r w:rsidR="00004ECB" w:rsidRPr="00626CFD">
        <w:rPr>
          <w:rFonts w:asciiTheme="minorHAnsi" w:hAnsiTheme="minorHAnsi"/>
        </w:rPr>
        <w:t xml:space="preserve"> kontrol talimatına uygun bir şekilde el hijyeni</w:t>
      </w:r>
      <w:r>
        <w:rPr>
          <w:rFonts w:asciiTheme="minorHAnsi" w:hAnsiTheme="minorHAnsi"/>
        </w:rPr>
        <w:t xml:space="preserve"> </w:t>
      </w:r>
      <w:r w:rsidR="00004ECB" w:rsidRPr="00626CFD">
        <w:rPr>
          <w:rFonts w:asciiTheme="minorHAnsi" w:hAnsiTheme="minorHAnsi"/>
        </w:rPr>
        <w:t>sağlanmalıdır.</w:t>
      </w:r>
    </w:p>
    <w:p w:rsidR="00004ECB" w:rsidRPr="00626CFD" w:rsidRDefault="00831C6C" w:rsidP="00831C6C">
      <w:pPr>
        <w:ind w:left="426" w:right="694"/>
        <w:rPr>
          <w:rFonts w:asciiTheme="minorHAnsi" w:hAnsiTheme="minorHAnsi"/>
        </w:rPr>
      </w:pPr>
      <w:r>
        <w:rPr>
          <w:rFonts w:asciiTheme="minorHAnsi" w:hAnsiTheme="minorHAnsi"/>
          <w:b/>
        </w:rPr>
        <w:t>●</w:t>
      </w:r>
      <w:r w:rsidR="00004ECB" w:rsidRPr="00626CFD">
        <w:rPr>
          <w:rFonts w:asciiTheme="minorHAnsi" w:hAnsiTheme="minorHAnsi"/>
          <w:b/>
        </w:rPr>
        <w:t xml:space="preserve"> </w:t>
      </w:r>
      <w:r w:rsidR="00004ECB" w:rsidRPr="00626CFD">
        <w:rPr>
          <w:rFonts w:asciiTheme="minorHAnsi" w:hAnsiTheme="minorHAnsi"/>
        </w:rPr>
        <w:t>İşlemler sırasında ağız yolu ile pipetleme yapılmamalıdır. Otomatik pipet kullanılmalıdır.</w:t>
      </w:r>
    </w:p>
    <w:p w:rsidR="005B113E" w:rsidRPr="00831C6C" w:rsidRDefault="00831C6C" w:rsidP="00831C6C">
      <w:pPr>
        <w:ind w:left="426" w:right="694"/>
        <w:rPr>
          <w:rFonts w:asciiTheme="minorHAnsi" w:hAnsiTheme="minorHAnsi"/>
        </w:rPr>
      </w:pPr>
      <w:r>
        <w:rPr>
          <w:rFonts w:asciiTheme="minorHAnsi" w:hAnsiTheme="minorHAnsi"/>
          <w:b/>
        </w:rPr>
        <w:t>●</w:t>
      </w:r>
      <w:r w:rsidR="00004ECB" w:rsidRPr="00626CFD">
        <w:rPr>
          <w:rFonts w:asciiTheme="minorHAnsi" w:hAnsiTheme="minorHAnsi"/>
        </w:rPr>
        <w:t>Güvenli çalışma için laboratuvara alanında yiyecek bulunma</w:t>
      </w:r>
      <w:r>
        <w:rPr>
          <w:rFonts w:asciiTheme="minorHAnsi" w:hAnsiTheme="minorHAnsi"/>
        </w:rPr>
        <w:t xml:space="preserve">malı, kolay havalandırılabilir </w:t>
      </w:r>
      <w:r w:rsidR="00004ECB" w:rsidRPr="00626CFD">
        <w:rPr>
          <w:rFonts w:asciiTheme="minorHAnsi" w:hAnsiTheme="minorHAnsi"/>
        </w:rPr>
        <w:t xml:space="preserve">olmalı, musluk, </w:t>
      </w:r>
      <w:r>
        <w:rPr>
          <w:rFonts w:asciiTheme="minorHAnsi" w:hAnsiTheme="minorHAnsi"/>
        </w:rPr>
        <w:t xml:space="preserve">                            </w:t>
      </w:r>
      <w:r w:rsidR="00004ECB" w:rsidRPr="00626CFD">
        <w:rPr>
          <w:rFonts w:asciiTheme="minorHAnsi" w:hAnsiTheme="minorHAnsi"/>
        </w:rPr>
        <w:t>lavabo, dezenfektanlar bulunmalıdır. Laboratuvara Transfüzyon merkezi</w:t>
      </w:r>
      <w:r>
        <w:rPr>
          <w:rFonts w:asciiTheme="minorHAnsi" w:hAnsiTheme="minorHAnsi"/>
        </w:rPr>
        <w:t xml:space="preserve"> </w:t>
      </w:r>
      <w:r w:rsidR="00004ECB" w:rsidRPr="00626CFD">
        <w:rPr>
          <w:rFonts w:asciiTheme="minorHAnsi" w:hAnsiTheme="minorHAnsi"/>
        </w:rPr>
        <w:t>çalışanları dışındaki kişilerin girmesi yasaklanmalıdır.</w:t>
      </w:r>
    </w:p>
    <w:p w:rsidR="00004ECB" w:rsidRPr="005B113E" w:rsidRDefault="00831C6C" w:rsidP="00831C6C">
      <w:pPr>
        <w:ind w:left="426" w:right="69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●</w:t>
      </w:r>
      <w:r w:rsidR="00004ECB" w:rsidRPr="00626CFD">
        <w:rPr>
          <w:rFonts w:asciiTheme="minorHAnsi" w:hAnsiTheme="minorHAnsi"/>
        </w:rPr>
        <w:t>Tıbbi atık kutuları hazır bulunmalı, atıklar tıbbi atık talimatına uygun olarak atılmalıdır.</w:t>
      </w:r>
      <w:r w:rsidR="00004ECB" w:rsidRPr="00626CFD">
        <w:rPr>
          <w:rFonts w:asciiTheme="minorHAnsi" w:hAnsiTheme="minorHAnsi"/>
          <w:b/>
        </w:rPr>
        <w:t xml:space="preserve"> </w:t>
      </w:r>
    </w:p>
    <w:p w:rsidR="00004ECB" w:rsidRPr="00626CFD" w:rsidRDefault="00831C6C" w:rsidP="00831C6C">
      <w:pPr>
        <w:ind w:left="426" w:right="694"/>
        <w:rPr>
          <w:rFonts w:asciiTheme="minorHAnsi" w:hAnsiTheme="minorHAnsi"/>
        </w:rPr>
      </w:pPr>
      <w:r>
        <w:rPr>
          <w:rFonts w:asciiTheme="minorHAnsi" w:hAnsiTheme="minorHAnsi"/>
          <w:b/>
        </w:rPr>
        <w:t>●</w:t>
      </w:r>
      <w:proofErr w:type="gramStart"/>
      <w:r w:rsidR="00004ECB" w:rsidRPr="00626CFD">
        <w:rPr>
          <w:rFonts w:asciiTheme="minorHAnsi" w:hAnsiTheme="minorHAnsi"/>
        </w:rPr>
        <w:t>Transfüzyon</w:t>
      </w:r>
      <w:r w:rsidR="00004ECB" w:rsidRPr="00626CFD">
        <w:rPr>
          <w:rFonts w:asciiTheme="minorHAnsi" w:hAnsiTheme="minorHAnsi"/>
          <w:b/>
        </w:rPr>
        <w:t xml:space="preserve"> </w:t>
      </w:r>
      <w:r w:rsidR="00004ECB" w:rsidRPr="00626CFD">
        <w:rPr>
          <w:rFonts w:asciiTheme="minorHAnsi" w:hAnsiTheme="minorHAnsi"/>
        </w:rPr>
        <w:t xml:space="preserve"> ünitesi</w:t>
      </w:r>
      <w:proofErr w:type="gramEnd"/>
      <w:r w:rsidR="00004ECB" w:rsidRPr="00626CFD">
        <w:rPr>
          <w:rFonts w:asciiTheme="minorHAnsi" w:hAnsiTheme="minorHAnsi"/>
        </w:rPr>
        <w:t xml:space="preserve"> </w:t>
      </w:r>
      <w:proofErr w:type="spellStart"/>
      <w:r w:rsidR="00004ECB" w:rsidRPr="00626CFD">
        <w:rPr>
          <w:rFonts w:asciiTheme="minorHAnsi" w:hAnsiTheme="minorHAnsi"/>
        </w:rPr>
        <w:t>laboratuarı</w:t>
      </w:r>
      <w:proofErr w:type="spellEnd"/>
      <w:r w:rsidR="00004ECB" w:rsidRPr="00626CFD">
        <w:rPr>
          <w:rFonts w:asciiTheme="minorHAnsi" w:hAnsiTheme="minorHAnsi"/>
        </w:rPr>
        <w:t xml:space="preserve"> ve </w:t>
      </w:r>
      <w:proofErr w:type="spellStart"/>
      <w:r w:rsidR="00004ECB" w:rsidRPr="00626CFD">
        <w:rPr>
          <w:rFonts w:asciiTheme="minorHAnsi" w:hAnsiTheme="minorHAnsi"/>
        </w:rPr>
        <w:t>donör</w:t>
      </w:r>
      <w:proofErr w:type="spellEnd"/>
      <w:r w:rsidR="00004ECB" w:rsidRPr="00626CFD">
        <w:rPr>
          <w:rFonts w:asciiTheme="minorHAnsi" w:hAnsiTheme="minorHAnsi"/>
        </w:rPr>
        <w:t xml:space="preserve"> odaları tem</w:t>
      </w:r>
      <w:r>
        <w:rPr>
          <w:rFonts w:asciiTheme="minorHAnsi" w:hAnsiTheme="minorHAnsi"/>
        </w:rPr>
        <w:t xml:space="preserve">izlik talimatına uygun şekilde </w:t>
      </w:r>
      <w:r w:rsidR="00004ECB" w:rsidRPr="00626CFD">
        <w:rPr>
          <w:rFonts w:asciiTheme="minorHAnsi" w:hAnsiTheme="minorHAnsi"/>
        </w:rPr>
        <w:t xml:space="preserve">temizlenmelidir.          </w:t>
      </w:r>
    </w:p>
    <w:p w:rsidR="00004ECB" w:rsidRPr="00626CFD" w:rsidRDefault="00831C6C" w:rsidP="00831C6C">
      <w:pPr>
        <w:suppressAutoHyphens w:val="0"/>
        <w:spacing w:line="276" w:lineRule="auto"/>
        <w:ind w:left="426" w:right="694"/>
        <w:rPr>
          <w:rFonts w:asciiTheme="minorHAnsi" w:hAnsiTheme="minorHAnsi"/>
        </w:rPr>
      </w:pPr>
      <w:r>
        <w:rPr>
          <w:rFonts w:asciiTheme="minorHAnsi" w:hAnsiTheme="minorHAnsi"/>
          <w:b/>
        </w:rPr>
        <w:t>●</w:t>
      </w:r>
      <w:r w:rsidR="00004ECB" w:rsidRPr="00626CFD">
        <w:rPr>
          <w:rFonts w:asciiTheme="minorHAnsi" w:hAnsiTheme="minorHAnsi"/>
        </w:rPr>
        <w:t xml:space="preserve">Kan bulaşmasında koruyucu önlük değiştirilmelidir. Kan, bir </w:t>
      </w:r>
      <w:proofErr w:type="gramStart"/>
      <w:r w:rsidR="00004ECB" w:rsidRPr="00626CFD">
        <w:rPr>
          <w:rFonts w:asciiTheme="minorHAnsi" w:hAnsiTheme="minorHAnsi"/>
        </w:rPr>
        <w:t>kağıt</w:t>
      </w:r>
      <w:proofErr w:type="gramEnd"/>
      <w:r w:rsidR="00004ECB" w:rsidRPr="00626CFD">
        <w:rPr>
          <w:rFonts w:asciiTheme="minorHAnsi" w:hAnsiTheme="minorHAnsi"/>
        </w:rPr>
        <w:t xml:space="preserve"> havlu ile </w:t>
      </w:r>
      <w:proofErr w:type="spellStart"/>
      <w:r w:rsidR="00004ECB" w:rsidRPr="00626CFD">
        <w:rPr>
          <w:rFonts w:asciiTheme="minorHAnsi" w:hAnsiTheme="minorHAnsi"/>
        </w:rPr>
        <w:t>absorbe</w:t>
      </w:r>
      <w:proofErr w:type="spellEnd"/>
      <w:r w:rsidR="00004ECB" w:rsidRPr="00626CFD">
        <w:rPr>
          <w:rFonts w:asciiTheme="minorHAnsi" w:hAnsiTheme="minorHAnsi"/>
        </w:rPr>
        <w:t xml:space="preserve"> edilmelidir.  </w:t>
      </w:r>
    </w:p>
    <w:p w:rsidR="00004ECB" w:rsidRPr="00831C6C" w:rsidRDefault="00831C6C" w:rsidP="00831C6C">
      <w:pPr>
        <w:ind w:left="426" w:right="694"/>
        <w:rPr>
          <w:rFonts w:asciiTheme="minorHAnsi" w:hAnsiTheme="minorHAnsi"/>
        </w:rPr>
      </w:pPr>
      <w:r>
        <w:rPr>
          <w:rFonts w:asciiTheme="minorHAnsi" w:hAnsiTheme="minorHAnsi"/>
          <w:b/>
        </w:rPr>
        <w:t>●</w:t>
      </w:r>
      <w:r>
        <w:rPr>
          <w:rFonts w:asciiTheme="minorHAnsi" w:hAnsiTheme="minorHAnsi"/>
        </w:rPr>
        <w:t xml:space="preserve">  </w:t>
      </w:r>
      <w:r w:rsidR="00004ECB" w:rsidRPr="00626CFD">
        <w:rPr>
          <w:rFonts w:asciiTheme="minorHAnsi" w:hAnsiTheme="minorHAnsi"/>
        </w:rPr>
        <w:t xml:space="preserve">Cam kırıkları süpürge ile alınmalıdır. 1 / 50’lik çamaşır suyu hazırlanarak yüzeye dökülüp, 30 </w:t>
      </w:r>
      <w:proofErr w:type="spellStart"/>
      <w:r w:rsidR="00004ECB" w:rsidRPr="00626CFD">
        <w:rPr>
          <w:rFonts w:asciiTheme="minorHAnsi" w:hAnsiTheme="minorHAnsi"/>
        </w:rPr>
        <w:t>dak</w:t>
      </w:r>
      <w:proofErr w:type="spellEnd"/>
      <w:r w:rsidR="00004ECB" w:rsidRPr="00626CFD">
        <w:rPr>
          <w:rFonts w:asciiTheme="minorHAnsi" w:hAnsiTheme="minorHAnsi"/>
        </w:rPr>
        <w:t xml:space="preserve">. beklenmeli ve </w:t>
      </w:r>
      <w:proofErr w:type="gramStart"/>
      <w:r w:rsidR="00004ECB" w:rsidRPr="00626CFD">
        <w:rPr>
          <w:rFonts w:asciiTheme="minorHAnsi" w:hAnsiTheme="minorHAnsi"/>
        </w:rPr>
        <w:t>dezenfekte</w:t>
      </w:r>
      <w:proofErr w:type="gramEnd"/>
      <w:r w:rsidR="00004ECB" w:rsidRPr="00626CFD">
        <w:rPr>
          <w:rFonts w:asciiTheme="minorHAnsi" w:hAnsiTheme="minorHAnsi"/>
        </w:rPr>
        <w:t xml:space="preserve"> edilen yüzey durulanmalıdır. Bütün bu işlemlerde </w:t>
      </w:r>
      <w:proofErr w:type="gramStart"/>
      <w:r w:rsidR="00004ECB" w:rsidRPr="00626CFD">
        <w:rPr>
          <w:rFonts w:asciiTheme="minorHAnsi" w:hAnsiTheme="minorHAnsi"/>
        </w:rPr>
        <w:t xml:space="preserve">kullanılan </w:t>
      </w:r>
      <w:r w:rsidR="00004ECB" w:rsidRPr="00626CFD">
        <w:rPr>
          <w:rFonts w:asciiTheme="minorHAnsi" w:hAnsiTheme="minorHAnsi"/>
          <w:b/>
        </w:rPr>
        <w:t xml:space="preserve"> </w:t>
      </w:r>
      <w:r w:rsidR="00004ECB" w:rsidRPr="00626CFD">
        <w:rPr>
          <w:rFonts w:asciiTheme="minorHAnsi" w:hAnsiTheme="minorHAnsi"/>
        </w:rPr>
        <w:t>malzeme</w:t>
      </w:r>
      <w:proofErr w:type="gramEnd"/>
      <w:r w:rsidR="00004ECB" w:rsidRPr="00626CFD">
        <w:rPr>
          <w:rFonts w:asciiTheme="minorHAnsi" w:hAnsiTheme="minorHAnsi"/>
        </w:rPr>
        <w:t xml:space="preserve"> kırmızı renkli </w:t>
      </w:r>
      <w:proofErr w:type="spellStart"/>
      <w:r w:rsidR="00004ECB" w:rsidRPr="00626CFD">
        <w:rPr>
          <w:rFonts w:asciiTheme="minorHAnsi" w:hAnsiTheme="minorHAnsi"/>
        </w:rPr>
        <w:t>tbbi</w:t>
      </w:r>
      <w:proofErr w:type="spellEnd"/>
      <w:r w:rsidR="00004ECB" w:rsidRPr="00626CFD">
        <w:rPr>
          <w:rFonts w:asciiTheme="minorHAnsi" w:hAnsiTheme="minorHAnsi"/>
        </w:rPr>
        <w:t xml:space="preserve"> atık poşetine atılır. </w:t>
      </w:r>
    </w:p>
    <w:p w:rsidR="00004ECB" w:rsidRPr="00626CFD" w:rsidRDefault="00831C6C" w:rsidP="00831C6C">
      <w:pPr>
        <w:ind w:left="426" w:right="694"/>
        <w:rPr>
          <w:rFonts w:asciiTheme="minorHAnsi" w:hAnsiTheme="minorHAnsi"/>
        </w:rPr>
      </w:pPr>
      <w:r>
        <w:rPr>
          <w:rFonts w:asciiTheme="minorHAnsi" w:hAnsiTheme="minorHAnsi"/>
          <w:b/>
        </w:rPr>
        <w:t>●</w:t>
      </w:r>
      <w:r w:rsidR="00004ECB" w:rsidRPr="00626CFD">
        <w:rPr>
          <w:rFonts w:asciiTheme="minorHAnsi" w:hAnsiTheme="minorHAnsi"/>
        </w:rPr>
        <w:t>Santrifüj sırasında tüp kırılması, kan torbalarında sızıntı veya p</w:t>
      </w:r>
      <w:r>
        <w:rPr>
          <w:rFonts w:asciiTheme="minorHAnsi" w:hAnsiTheme="minorHAnsi"/>
        </w:rPr>
        <w:t xml:space="preserve">atlama var ise </w:t>
      </w:r>
      <w:proofErr w:type="gramStart"/>
      <w:r>
        <w:rPr>
          <w:rFonts w:asciiTheme="minorHAnsi" w:hAnsiTheme="minorHAnsi"/>
        </w:rPr>
        <w:t>santrifüj</w:t>
      </w:r>
      <w:proofErr w:type="gramEnd"/>
      <w:r>
        <w:rPr>
          <w:rFonts w:asciiTheme="minorHAnsi" w:hAnsiTheme="minorHAnsi"/>
        </w:rPr>
        <w:t xml:space="preserve"> derhal </w:t>
      </w:r>
      <w:r w:rsidR="00004ECB" w:rsidRPr="00626CFD">
        <w:rPr>
          <w:rFonts w:asciiTheme="minorHAnsi" w:hAnsiTheme="minorHAnsi"/>
        </w:rPr>
        <w:t xml:space="preserve">durdurulmalıdır. Santrifüj içinden tüp parçaları toplanmalı ve kesici ve delici tıbbi atık </w:t>
      </w:r>
      <w:proofErr w:type="gramStart"/>
      <w:r w:rsidR="00004ECB" w:rsidRPr="00626CFD">
        <w:rPr>
          <w:rFonts w:asciiTheme="minorHAnsi" w:hAnsiTheme="minorHAnsi"/>
        </w:rPr>
        <w:t>kutusuna           atılmalıdır</w:t>
      </w:r>
      <w:proofErr w:type="gramEnd"/>
      <w:r w:rsidR="00004ECB" w:rsidRPr="00626CFD">
        <w:rPr>
          <w:rFonts w:asciiTheme="minorHAnsi" w:hAnsiTheme="minorHAnsi"/>
        </w:rPr>
        <w:t>. Santrifüj içinde kan torbası var ise kan torbası alınarak tıbbi atık poşetine atılmalıdır.</w:t>
      </w:r>
    </w:p>
    <w:p w:rsidR="00004ECB" w:rsidRPr="00626CFD" w:rsidRDefault="00831C6C" w:rsidP="00831C6C">
      <w:pPr>
        <w:ind w:right="69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  <w:b/>
        </w:rPr>
        <w:t>●</w:t>
      </w:r>
      <w:r w:rsidR="00004ECB" w:rsidRPr="00626CFD">
        <w:rPr>
          <w:rFonts w:asciiTheme="minorHAnsi" w:hAnsiTheme="minorHAnsi"/>
          <w:b/>
        </w:rPr>
        <w:t xml:space="preserve"> </w:t>
      </w:r>
      <w:r w:rsidR="00004ECB" w:rsidRPr="00626CFD">
        <w:rPr>
          <w:rFonts w:asciiTheme="minorHAnsi" w:hAnsiTheme="minorHAnsi"/>
        </w:rPr>
        <w:t>Santrifüjün içi 1 / 50’lik çamaşır suyu ile silinmeli ve durulanmalıdır.</w:t>
      </w:r>
    </w:p>
    <w:p w:rsidR="00004ECB" w:rsidRPr="00626CFD" w:rsidRDefault="00831C6C" w:rsidP="00831C6C">
      <w:pPr>
        <w:ind w:left="426" w:right="694"/>
        <w:rPr>
          <w:rFonts w:asciiTheme="minorHAnsi" w:hAnsiTheme="minorHAnsi"/>
        </w:rPr>
      </w:pPr>
      <w:r>
        <w:rPr>
          <w:rFonts w:asciiTheme="minorHAnsi" w:hAnsiTheme="minorHAnsi"/>
          <w:b/>
        </w:rPr>
        <w:t>●</w:t>
      </w:r>
      <w:r w:rsidR="00004ECB" w:rsidRPr="00626CFD">
        <w:rPr>
          <w:rFonts w:asciiTheme="minorHAnsi" w:hAnsiTheme="minorHAnsi"/>
        </w:rPr>
        <w:t>Transfüzyon merkezi çalışan tüm sağlık personelinin Hepatit</w:t>
      </w:r>
      <w:r>
        <w:rPr>
          <w:rFonts w:asciiTheme="minorHAnsi" w:hAnsiTheme="minorHAnsi"/>
        </w:rPr>
        <w:t xml:space="preserve"> B yönünden kontrolü yapılmalı </w:t>
      </w:r>
      <w:r w:rsidR="00004ECB" w:rsidRPr="00626CFD">
        <w:rPr>
          <w:rFonts w:asciiTheme="minorHAnsi" w:hAnsiTheme="minorHAnsi"/>
        </w:rPr>
        <w:t>ve gerekli durumlarda Hepatit B aşısı yapılmalıdır.</w:t>
      </w:r>
    </w:p>
    <w:p w:rsidR="00004ECB" w:rsidRPr="00626CFD" w:rsidRDefault="00831C6C" w:rsidP="00831C6C">
      <w:pPr>
        <w:ind w:left="426" w:right="694"/>
        <w:rPr>
          <w:rFonts w:asciiTheme="minorHAnsi" w:hAnsiTheme="minorHAnsi"/>
        </w:rPr>
      </w:pPr>
      <w:r>
        <w:rPr>
          <w:rFonts w:asciiTheme="minorHAnsi" w:hAnsiTheme="minorHAnsi"/>
          <w:b/>
        </w:rPr>
        <w:t>●</w:t>
      </w:r>
      <w:r w:rsidR="00004ECB" w:rsidRPr="00626CFD">
        <w:rPr>
          <w:rFonts w:asciiTheme="minorHAnsi" w:hAnsiTheme="minorHAnsi"/>
        </w:rPr>
        <w:t xml:space="preserve">Son kullanma tarihi geçmiş veya </w:t>
      </w:r>
      <w:proofErr w:type="spellStart"/>
      <w:r w:rsidR="00004ECB" w:rsidRPr="00626CFD">
        <w:rPr>
          <w:rFonts w:asciiTheme="minorHAnsi" w:hAnsiTheme="minorHAnsi"/>
        </w:rPr>
        <w:t>enfekte</w:t>
      </w:r>
      <w:proofErr w:type="spellEnd"/>
      <w:r w:rsidR="00004ECB" w:rsidRPr="00626CFD">
        <w:rPr>
          <w:rFonts w:asciiTheme="minorHAnsi" w:hAnsiTheme="minorHAnsi"/>
        </w:rPr>
        <w:t xml:space="preserve"> kanlar tıbbi atık poşetine atılmalıdır.</w:t>
      </w:r>
    </w:p>
    <w:p w:rsidR="00004ECB" w:rsidRPr="00626CFD" w:rsidRDefault="00831C6C" w:rsidP="00831C6C">
      <w:pPr>
        <w:ind w:left="426" w:right="694"/>
        <w:rPr>
          <w:rFonts w:asciiTheme="minorHAnsi" w:hAnsiTheme="minorHAnsi"/>
        </w:rPr>
      </w:pPr>
      <w:r>
        <w:rPr>
          <w:rFonts w:asciiTheme="minorHAnsi" w:hAnsiTheme="minorHAnsi"/>
          <w:b/>
        </w:rPr>
        <w:t>●</w:t>
      </w:r>
      <w:r w:rsidR="00004ECB" w:rsidRPr="00626CFD">
        <w:rPr>
          <w:rFonts w:asciiTheme="minorHAnsi" w:hAnsiTheme="minorHAnsi"/>
        </w:rPr>
        <w:t>Kesici delici alet yaralanması, iğne batması sonrasında yaralanan yer bol su ile yıkanmalı ve en</w:t>
      </w:r>
      <w:r>
        <w:rPr>
          <w:rFonts w:asciiTheme="minorHAnsi" w:hAnsiTheme="minorHAnsi"/>
        </w:rPr>
        <w:t xml:space="preserve"> </w:t>
      </w:r>
      <w:r w:rsidR="00004ECB" w:rsidRPr="00626CFD">
        <w:rPr>
          <w:rFonts w:asciiTheme="minorHAnsi" w:hAnsiTheme="minorHAnsi"/>
        </w:rPr>
        <w:t xml:space="preserve">kısa sürede Enfeksiyon Hastalıkları polikliniğine başvurulmalıdır. </w:t>
      </w:r>
    </w:p>
    <w:p w:rsidR="00004ECB" w:rsidRPr="00626CFD" w:rsidRDefault="00831C6C" w:rsidP="00831C6C">
      <w:pPr>
        <w:ind w:left="426" w:right="694"/>
        <w:rPr>
          <w:rFonts w:asciiTheme="minorHAnsi" w:hAnsiTheme="minorHAnsi"/>
        </w:rPr>
      </w:pPr>
      <w:r>
        <w:rPr>
          <w:rFonts w:asciiTheme="minorHAnsi" w:hAnsiTheme="minorHAnsi"/>
          <w:b/>
        </w:rPr>
        <w:t>●</w:t>
      </w:r>
      <w:r w:rsidR="00004ECB" w:rsidRPr="00626CFD">
        <w:rPr>
          <w:rFonts w:asciiTheme="minorHAnsi" w:hAnsiTheme="minorHAnsi"/>
        </w:rPr>
        <w:t>Kan bağışçılarının kanının alınacağı kolun temizliği iyi yapılmalıdır.</w:t>
      </w:r>
    </w:p>
    <w:p w:rsidR="00004ECB" w:rsidRPr="00626CFD" w:rsidRDefault="00831C6C" w:rsidP="00831C6C">
      <w:pPr>
        <w:ind w:left="426" w:right="69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●</w:t>
      </w:r>
      <w:r w:rsidR="00004ECB" w:rsidRPr="00626CFD">
        <w:rPr>
          <w:rFonts w:asciiTheme="minorHAnsi" w:hAnsiTheme="minorHAnsi"/>
        </w:rPr>
        <w:t>Transfüzyon merkezi girişlerde ayakkabıların üzerine galoş takılmalıdır.</w:t>
      </w:r>
      <w:r w:rsidR="00004ECB" w:rsidRPr="00626CFD">
        <w:rPr>
          <w:rFonts w:asciiTheme="minorHAnsi" w:hAnsiTheme="minorHAnsi"/>
          <w:b/>
        </w:rPr>
        <w:t xml:space="preserve"> </w:t>
      </w:r>
    </w:p>
    <w:p w:rsidR="00004ECB" w:rsidRPr="00626CFD" w:rsidRDefault="00831C6C" w:rsidP="00831C6C">
      <w:pPr>
        <w:ind w:left="426" w:right="694"/>
        <w:rPr>
          <w:rFonts w:asciiTheme="minorHAnsi" w:hAnsiTheme="minorHAnsi"/>
        </w:rPr>
      </w:pPr>
      <w:r>
        <w:rPr>
          <w:rFonts w:asciiTheme="minorHAnsi" w:hAnsiTheme="minorHAnsi"/>
          <w:b/>
        </w:rPr>
        <w:t>●</w:t>
      </w:r>
      <w:proofErr w:type="spellStart"/>
      <w:r w:rsidR="00004ECB" w:rsidRPr="00626CFD">
        <w:rPr>
          <w:rFonts w:asciiTheme="minorHAnsi" w:hAnsiTheme="minorHAnsi"/>
        </w:rPr>
        <w:t>Biyogüvenlik</w:t>
      </w:r>
      <w:proofErr w:type="spellEnd"/>
      <w:r w:rsidR="00004ECB" w:rsidRPr="00626CFD">
        <w:rPr>
          <w:rFonts w:asciiTheme="minorHAnsi" w:hAnsiTheme="minorHAnsi"/>
        </w:rPr>
        <w:t xml:space="preserve"> sorumlusu Transfüzyon merkezi personeline düzenli aralıklarla ( yılda en az 1 kez ) eğitim vermelidir.</w:t>
      </w:r>
    </w:p>
    <w:p w:rsidR="00004ECB" w:rsidRPr="00626CFD" w:rsidRDefault="00004ECB" w:rsidP="00831C6C">
      <w:pPr>
        <w:ind w:left="426" w:right="694"/>
        <w:rPr>
          <w:rFonts w:asciiTheme="minorHAnsi" w:hAnsiTheme="minorHAnsi"/>
        </w:rPr>
      </w:pPr>
    </w:p>
    <w:p w:rsidR="00004ECB" w:rsidRPr="00831C6C" w:rsidRDefault="00004ECB" w:rsidP="00831C6C">
      <w:pPr>
        <w:pStyle w:val="ListeParagraf"/>
        <w:numPr>
          <w:ilvl w:val="0"/>
          <w:numId w:val="4"/>
        </w:numPr>
        <w:ind w:right="694"/>
        <w:rPr>
          <w:rFonts w:asciiTheme="minorHAnsi" w:hAnsiTheme="minorHAnsi"/>
          <w:b/>
        </w:rPr>
      </w:pPr>
      <w:r w:rsidRPr="00831C6C">
        <w:rPr>
          <w:rFonts w:asciiTheme="minorHAnsi" w:hAnsiTheme="minorHAnsi"/>
          <w:b/>
        </w:rPr>
        <w:t>SORUMLULAR</w:t>
      </w:r>
    </w:p>
    <w:p w:rsidR="00004ECB" w:rsidRDefault="00831C6C" w:rsidP="00831C6C">
      <w:pPr>
        <w:ind w:left="426" w:right="69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004ECB" w:rsidRPr="00626CFD">
        <w:rPr>
          <w:rFonts w:asciiTheme="minorHAnsi" w:hAnsiTheme="minorHAnsi"/>
        </w:rPr>
        <w:t xml:space="preserve"> </w:t>
      </w:r>
      <w:proofErr w:type="spellStart"/>
      <w:r w:rsidR="00004ECB" w:rsidRPr="00626CFD">
        <w:rPr>
          <w:rFonts w:asciiTheme="minorHAnsi" w:hAnsiTheme="minorHAnsi"/>
        </w:rPr>
        <w:t>Biyogüvenlik</w:t>
      </w:r>
      <w:proofErr w:type="spellEnd"/>
      <w:r w:rsidR="00004ECB" w:rsidRPr="00626CFD">
        <w:rPr>
          <w:rFonts w:asciiTheme="minorHAnsi" w:hAnsiTheme="minorHAnsi"/>
        </w:rPr>
        <w:t xml:space="preserve"> sorumlusu</w:t>
      </w:r>
    </w:p>
    <w:p w:rsidR="00831C6C" w:rsidRDefault="00831C6C" w:rsidP="00831C6C">
      <w:pPr>
        <w:ind w:left="426" w:right="694"/>
        <w:rPr>
          <w:rFonts w:asciiTheme="minorHAnsi" w:hAnsiTheme="minorHAnsi"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3335"/>
        <w:gridCol w:w="3869"/>
        <w:gridCol w:w="2860"/>
      </w:tblGrid>
      <w:tr w:rsidR="00831C6C" w:rsidTr="00831C6C">
        <w:tc>
          <w:tcPr>
            <w:tcW w:w="3335" w:type="dxa"/>
          </w:tcPr>
          <w:p w:rsidR="00831C6C" w:rsidRPr="00831C6C" w:rsidRDefault="00831C6C" w:rsidP="00831C6C">
            <w:pPr>
              <w:tabs>
                <w:tab w:val="left" w:pos="1290"/>
              </w:tabs>
              <w:jc w:val="center"/>
              <w:rPr>
                <w:rFonts w:asciiTheme="minorHAnsi" w:hAnsiTheme="minorHAnsi"/>
              </w:rPr>
            </w:pPr>
            <w:r w:rsidRPr="00831C6C">
              <w:rPr>
                <w:rFonts w:asciiTheme="minorHAnsi" w:hAnsiTheme="minorHAnsi"/>
              </w:rPr>
              <w:t>HAZIRLAYAN</w:t>
            </w:r>
          </w:p>
        </w:tc>
        <w:tc>
          <w:tcPr>
            <w:tcW w:w="3869" w:type="dxa"/>
          </w:tcPr>
          <w:p w:rsidR="00831C6C" w:rsidRPr="00831C6C" w:rsidRDefault="00831C6C" w:rsidP="00831C6C">
            <w:pPr>
              <w:tabs>
                <w:tab w:val="left" w:pos="1290"/>
              </w:tabs>
              <w:jc w:val="center"/>
              <w:rPr>
                <w:rFonts w:asciiTheme="minorHAnsi" w:hAnsiTheme="minorHAnsi"/>
              </w:rPr>
            </w:pPr>
            <w:r w:rsidRPr="00831C6C">
              <w:rPr>
                <w:rFonts w:asciiTheme="minorHAnsi" w:hAnsiTheme="minorHAnsi"/>
              </w:rPr>
              <w:t>KONTROL EDEN</w:t>
            </w:r>
          </w:p>
        </w:tc>
        <w:tc>
          <w:tcPr>
            <w:tcW w:w="2860" w:type="dxa"/>
          </w:tcPr>
          <w:p w:rsidR="00831C6C" w:rsidRPr="00831C6C" w:rsidRDefault="00831C6C" w:rsidP="00831C6C">
            <w:pPr>
              <w:tabs>
                <w:tab w:val="left" w:pos="1290"/>
              </w:tabs>
              <w:jc w:val="center"/>
              <w:rPr>
                <w:rFonts w:asciiTheme="minorHAnsi" w:hAnsiTheme="minorHAnsi"/>
              </w:rPr>
            </w:pPr>
            <w:r w:rsidRPr="00831C6C">
              <w:rPr>
                <w:rFonts w:asciiTheme="minorHAnsi" w:hAnsiTheme="minorHAnsi"/>
              </w:rPr>
              <w:t>ONAYLAYAN</w:t>
            </w:r>
          </w:p>
        </w:tc>
      </w:tr>
      <w:tr w:rsidR="00831C6C" w:rsidTr="00831C6C">
        <w:tc>
          <w:tcPr>
            <w:tcW w:w="3335" w:type="dxa"/>
          </w:tcPr>
          <w:p w:rsidR="00831C6C" w:rsidRPr="00831C6C" w:rsidRDefault="00831C6C" w:rsidP="00831C6C">
            <w:pPr>
              <w:tabs>
                <w:tab w:val="left" w:pos="1290"/>
              </w:tabs>
              <w:jc w:val="center"/>
              <w:rPr>
                <w:rFonts w:asciiTheme="minorHAnsi" w:hAnsiTheme="minorHAnsi"/>
              </w:rPr>
            </w:pPr>
            <w:r w:rsidRPr="00A75688">
              <w:rPr>
                <w:rFonts w:ascii="Calibri" w:eastAsia="Calibri" w:hAnsi="Calibri" w:cs="Tahoma"/>
                <w:lang w:eastAsia="en-US"/>
              </w:rPr>
              <w:t xml:space="preserve">  TRANSFÜZYON MERKEZİ SORUMLUSU</w:t>
            </w:r>
            <w:bookmarkStart w:id="0" w:name="_GoBack"/>
            <w:bookmarkEnd w:id="0"/>
          </w:p>
        </w:tc>
        <w:tc>
          <w:tcPr>
            <w:tcW w:w="3869" w:type="dxa"/>
          </w:tcPr>
          <w:p w:rsidR="00831C6C" w:rsidRPr="00831C6C" w:rsidRDefault="00831C6C" w:rsidP="00831C6C">
            <w:pPr>
              <w:tabs>
                <w:tab w:val="left" w:pos="1290"/>
              </w:tabs>
              <w:jc w:val="center"/>
              <w:rPr>
                <w:rFonts w:asciiTheme="minorHAnsi" w:hAnsiTheme="minorHAnsi"/>
              </w:rPr>
            </w:pPr>
            <w:r w:rsidRPr="00831C6C">
              <w:rPr>
                <w:rFonts w:asciiTheme="minorHAnsi" w:hAnsiTheme="minorHAnsi"/>
              </w:rPr>
              <w:t>PERFORMANS VE KALİTE BİRİMİ</w:t>
            </w:r>
          </w:p>
        </w:tc>
        <w:tc>
          <w:tcPr>
            <w:tcW w:w="2860" w:type="dxa"/>
          </w:tcPr>
          <w:p w:rsidR="00831C6C" w:rsidRPr="00831C6C" w:rsidRDefault="00831C6C" w:rsidP="00831C6C">
            <w:pPr>
              <w:tabs>
                <w:tab w:val="left" w:pos="1290"/>
              </w:tabs>
              <w:jc w:val="center"/>
              <w:rPr>
                <w:rFonts w:asciiTheme="minorHAnsi" w:hAnsiTheme="minorHAnsi"/>
              </w:rPr>
            </w:pPr>
            <w:r w:rsidRPr="00831C6C">
              <w:rPr>
                <w:rFonts w:asciiTheme="minorHAnsi" w:hAnsiTheme="minorHAnsi"/>
              </w:rPr>
              <w:t>BAŞHEKİM</w:t>
            </w:r>
          </w:p>
        </w:tc>
      </w:tr>
    </w:tbl>
    <w:p w:rsidR="00FE6572" w:rsidRPr="00004ECB" w:rsidRDefault="00FE6572" w:rsidP="00831C6C">
      <w:pPr>
        <w:tabs>
          <w:tab w:val="left" w:pos="1290"/>
        </w:tabs>
      </w:pPr>
    </w:p>
    <w:sectPr w:rsidR="00FE6572" w:rsidRPr="00004ECB" w:rsidSect="00004E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0" w:right="0" w:bottom="140" w:left="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FD" w:rsidRDefault="006728FD" w:rsidP="00004ECB">
      <w:r>
        <w:separator/>
      </w:r>
    </w:p>
  </w:endnote>
  <w:endnote w:type="continuationSeparator" w:id="0">
    <w:p w:rsidR="006728FD" w:rsidRDefault="006728FD" w:rsidP="0000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CB" w:rsidRDefault="00004E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CB" w:rsidRDefault="00004EC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CB" w:rsidRDefault="00004E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FD" w:rsidRDefault="006728FD" w:rsidP="00004ECB">
      <w:r>
        <w:separator/>
      </w:r>
    </w:p>
  </w:footnote>
  <w:footnote w:type="continuationSeparator" w:id="0">
    <w:p w:rsidR="006728FD" w:rsidRDefault="006728FD" w:rsidP="00004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CB" w:rsidRDefault="00004EC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8500" o:spid="_x0000_s2050" type="#_x0000_t136" style="position:absolute;margin-left:0;margin-top:0;width:713.25pt;height:95.1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CB" w:rsidRDefault="00004EC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8501" o:spid="_x0000_s2051" type="#_x0000_t136" style="position:absolute;margin-left:0;margin-top:0;width:713.25pt;height:95.1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CB" w:rsidRDefault="00004EC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8499" o:spid="_x0000_s2049" type="#_x0000_t136" style="position:absolute;margin-left:0;margin-top:0;width:713.25pt;height:95.1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473"/>
    <w:multiLevelType w:val="multilevel"/>
    <w:tmpl w:val="19701EF8"/>
    <w:lvl w:ilvl="0">
      <w:start w:val="3"/>
      <w:numFmt w:val="decimal"/>
      <w:lvlText w:val="%1.0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"/>
      <w:lvlJc w:val="left"/>
      <w:pPr>
        <w:tabs>
          <w:tab w:val="num" w:pos="1368"/>
        </w:tabs>
        <w:ind w:left="1368" w:hanging="6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F8D46C5"/>
    <w:multiLevelType w:val="multilevel"/>
    <w:tmpl w:val="BE488B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2">
    <w:nsid w:val="39EC640D"/>
    <w:multiLevelType w:val="multilevel"/>
    <w:tmpl w:val="FA623410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7"/>
      <w:numFmt w:val="decimal"/>
      <w:lvlText w:val="%1.%2"/>
      <w:lvlJc w:val="left"/>
      <w:pPr>
        <w:tabs>
          <w:tab w:val="num" w:pos="660"/>
        </w:tabs>
        <w:ind w:left="660" w:hanging="6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5E7B579C"/>
    <w:multiLevelType w:val="multilevel"/>
    <w:tmpl w:val="6E58B790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CB"/>
    <w:rsid w:val="00004ECB"/>
    <w:rsid w:val="00015469"/>
    <w:rsid w:val="000C720D"/>
    <w:rsid w:val="00151963"/>
    <w:rsid w:val="00161A12"/>
    <w:rsid w:val="001854F3"/>
    <w:rsid w:val="00243BA3"/>
    <w:rsid w:val="002C6A19"/>
    <w:rsid w:val="002F1AA7"/>
    <w:rsid w:val="004E76DD"/>
    <w:rsid w:val="00520F04"/>
    <w:rsid w:val="005B113E"/>
    <w:rsid w:val="00632019"/>
    <w:rsid w:val="00645A67"/>
    <w:rsid w:val="006728FD"/>
    <w:rsid w:val="006E0462"/>
    <w:rsid w:val="007D0BCA"/>
    <w:rsid w:val="00831C6C"/>
    <w:rsid w:val="008E41A7"/>
    <w:rsid w:val="00A90E74"/>
    <w:rsid w:val="00B5624D"/>
    <w:rsid w:val="00C0766A"/>
    <w:rsid w:val="00CC3E8A"/>
    <w:rsid w:val="00CC7B58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E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ECB"/>
    <w:rPr>
      <w:rFonts w:ascii="Tahoma" w:eastAsia="Times New Roman" w:hAnsi="Tahoma" w:cs="Tahoma"/>
      <w:sz w:val="16"/>
      <w:szCs w:val="16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004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4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004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4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5B113E"/>
    <w:pPr>
      <w:ind w:left="720"/>
      <w:contextualSpacing/>
    </w:pPr>
  </w:style>
  <w:style w:type="table" w:styleId="TabloKlavuzu">
    <w:name w:val="Table Grid"/>
    <w:basedOn w:val="NormalTablo"/>
    <w:uiPriority w:val="59"/>
    <w:rsid w:val="0083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E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ECB"/>
    <w:rPr>
      <w:rFonts w:ascii="Tahoma" w:eastAsia="Times New Roman" w:hAnsi="Tahoma" w:cs="Tahoma"/>
      <w:sz w:val="16"/>
      <w:szCs w:val="16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004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4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004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4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5B113E"/>
    <w:pPr>
      <w:ind w:left="720"/>
      <w:contextualSpacing/>
    </w:pPr>
  </w:style>
  <w:style w:type="table" w:styleId="TabloKlavuzu">
    <w:name w:val="Table Grid"/>
    <w:basedOn w:val="NormalTablo"/>
    <w:uiPriority w:val="59"/>
    <w:rsid w:val="0083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1</cp:revision>
  <dcterms:created xsi:type="dcterms:W3CDTF">2018-06-01T06:40:00Z</dcterms:created>
  <dcterms:modified xsi:type="dcterms:W3CDTF">2018-06-01T07:16:00Z</dcterms:modified>
</cp:coreProperties>
</file>